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B6" w:rsidRPr="008A6DC4" w:rsidRDefault="00C94FAB" w:rsidP="00C65007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</w:t>
      </w:r>
      <w:r w:rsidR="008278B6" w:rsidRPr="008278B6">
        <w:rPr>
          <w:rFonts w:eastAsia="Times New Roman" w:cs="Times New Roman"/>
          <w:b/>
          <w:color w:val="000000"/>
          <w:sz w:val="24"/>
          <w:szCs w:val="24"/>
          <w:lang w:eastAsia="en-GB"/>
        </w:rPr>
        <w:t>DSD panel</w:t>
      </w:r>
      <w:r w:rsidR="00C65007"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contains genes involved in gonadal development and gonadal differentiation </w:t>
      </w:r>
      <w:r w:rsidR="00C65007"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>(</w:t>
      </w:r>
      <w:proofErr w:type="spellStart"/>
      <w:r w:rsidR="00C65007"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>PanelApp</w:t>
      </w:r>
      <w:proofErr w:type="spellEnd"/>
      <w:r w:rsidR="00C65007"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v2.1</w:t>
      </w:r>
      <w:r w:rsidR="004366AC">
        <w:rPr>
          <w:rFonts w:eastAsia="Times New Roman" w:cs="Times New Roman"/>
          <w:b/>
          <w:color w:val="000000"/>
          <w:sz w:val="24"/>
          <w:szCs w:val="24"/>
          <w:lang w:eastAsia="en-GB"/>
        </w:rPr>
        <w:t>, January 2020</w:t>
      </w:r>
      <w:bookmarkStart w:id="0" w:name="_GoBack"/>
      <w:bookmarkEnd w:id="0"/>
      <w:r w:rsidR="00C65007" w:rsidRPr="008A6DC4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</w:p>
    <w:p w:rsidR="008278B6" w:rsidRPr="008278B6" w:rsidRDefault="008278B6" w:rsidP="008278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2872" w:type="dxa"/>
        <w:jc w:val="center"/>
        <w:tblLook w:val="04A0" w:firstRow="1" w:lastRow="0" w:firstColumn="1" w:lastColumn="0" w:noHBand="0" w:noVBand="1"/>
      </w:tblPr>
      <w:tblGrid>
        <w:gridCol w:w="1207"/>
        <w:gridCol w:w="9938"/>
        <w:gridCol w:w="1727"/>
      </w:tblGrid>
      <w:tr w:rsidR="008278B6" w:rsidRPr="008278B6" w:rsidTr="008A6DC4">
        <w:trPr>
          <w:trHeight w:val="570"/>
          <w:jc w:val="center"/>
        </w:trPr>
        <w:tc>
          <w:tcPr>
            <w:tcW w:w="12872" w:type="dxa"/>
            <w:gridSpan w:val="3"/>
            <w:shd w:val="clear" w:color="auto" w:fill="8DB3E2" w:themeFill="text2" w:themeFillTint="66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Disorders of gonadal development</w:t>
            </w:r>
          </w:p>
        </w:tc>
      </w:tr>
      <w:tr w:rsidR="008278B6" w:rsidRPr="008278B6" w:rsidTr="008A6DC4">
        <w:trPr>
          <w:trHeight w:val="495"/>
          <w:jc w:val="center"/>
        </w:trPr>
        <w:tc>
          <w:tcPr>
            <w:tcW w:w="1207" w:type="dxa"/>
            <w:shd w:val="clear" w:color="auto" w:fill="C6D9F1" w:themeFill="text2" w:themeFillTint="33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Gene </w:t>
            </w:r>
          </w:p>
        </w:tc>
        <w:tc>
          <w:tcPr>
            <w:tcW w:w="9938" w:type="dxa"/>
            <w:shd w:val="clear" w:color="auto" w:fill="C6D9F1" w:themeFill="text2" w:themeFillTint="33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Associated phenotypes</w:t>
            </w:r>
          </w:p>
        </w:tc>
        <w:tc>
          <w:tcPr>
            <w:tcW w:w="1727" w:type="dxa"/>
            <w:shd w:val="clear" w:color="auto" w:fill="C6D9F1" w:themeFill="text2" w:themeFillTint="33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OMIM</w:t>
            </w:r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ARX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Proud syndrome (Corpus Callosum, Agenesis Of, With Abnormal Genitalia)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X-linked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Lissencephaly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type 2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5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300004</w:t>
              </w:r>
            </w:hyperlink>
            <w:r w:rsidR="008278B6" w:rsidRPr="008278B6"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  <w:t xml:space="preserve">   </w:t>
            </w:r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6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300215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ATRX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X-linked Alpha-thalassemia/mental retardation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7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301040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CUL4B 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X-linked intellectual disability,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Cabezas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type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8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300354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DHH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complete gonadal dysgenesis (46,XY sex reversal type 7)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gonadal dysgenesis-motor and sensory neuropathy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9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233420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0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607080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MAMLD1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X-linked Hypospadias type 2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X-linked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myotubular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myopathy-abnormal genitalia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1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300758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2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300219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MAP3K1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complete gonadal dysgenesis (46,XY sex reversal type 6) 46,XY partial gonadal dysgenesis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3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613762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NR0B1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sex reversal type 2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Congenital Adrenal Hypoplasia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4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300018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5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300200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NR5A1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46,XX sex reversal type 4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sex reversal type 3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Adrenocortical insufficiency/Premature Ovarian Failure type 7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Spermatogenic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failure type 8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6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617480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7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612965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8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612964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19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613957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RPL10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Syndromic X-linked intellectual disability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0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300998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RSPO1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Palmoplantar hyperkeratosis with squamous cell carcinoma of skin and sex reversal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1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610644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SOX9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Campomelic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dysplasia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2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114290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SOX10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Peripheral demyelinating neuropathy, Central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dysmyelination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Waardenburg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syndrome, and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Hirschsprung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disease (PCWH) 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Waardenburg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syndrome, type 4C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3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609136</w:t>
              </w:r>
            </w:hyperlink>
            <w:r w:rsidR="008278B6" w:rsidRPr="008278B6"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  <w:t xml:space="preserve">   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4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613266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SRY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46,XX sex reversal type 1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sex reversal type 1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5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400045</w:t>
              </w:r>
            </w:hyperlink>
            <w:r w:rsidR="008278B6" w:rsidRPr="008278B6"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  <w:t xml:space="preserve"> </w:t>
            </w:r>
            <w:hyperlink r:id="rId26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400044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TOE1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Pontocerebellar hypoplasia, type 7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7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614969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WT1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Denys-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Drash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syndrome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Frasier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8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194080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29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136680</w:t>
              </w:r>
            </w:hyperlink>
          </w:p>
        </w:tc>
      </w:tr>
      <w:tr w:rsidR="008278B6" w:rsidRPr="008278B6" w:rsidTr="008A6DC4">
        <w:trPr>
          <w:trHeight w:val="479"/>
          <w:jc w:val="center"/>
        </w:trPr>
        <w:tc>
          <w:tcPr>
            <w:tcW w:w="12872" w:type="dxa"/>
            <w:gridSpan w:val="3"/>
            <w:shd w:val="clear" w:color="auto" w:fill="8DB3E2" w:themeFill="text2" w:themeFillTint="66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Disorders of gonadal differentiation</w:t>
            </w:r>
          </w:p>
        </w:tc>
      </w:tr>
      <w:tr w:rsidR="008A6DC4" w:rsidRPr="008278B6" w:rsidTr="008A6DC4">
        <w:trPr>
          <w:trHeight w:val="495"/>
          <w:jc w:val="center"/>
        </w:trPr>
        <w:tc>
          <w:tcPr>
            <w:tcW w:w="1207" w:type="dxa"/>
            <w:shd w:val="clear" w:color="auto" w:fill="C6D9F1" w:themeFill="text2" w:themeFillTint="33"/>
            <w:hideMark/>
          </w:tcPr>
          <w:p w:rsidR="008A6DC4" w:rsidRPr="008278B6" w:rsidRDefault="008A6DC4" w:rsidP="00E8577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Gene </w:t>
            </w:r>
          </w:p>
        </w:tc>
        <w:tc>
          <w:tcPr>
            <w:tcW w:w="9938" w:type="dxa"/>
            <w:shd w:val="clear" w:color="auto" w:fill="C6D9F1" w:themeFill="text2" w:themeFillTint="33"/>
            <w:hideMark/>
          </w:tcPr>
          <w:p w:rsidR="008A6DC4" w:rsidRPr="008278B6" w:rsidRDefault="008A6DC4" w:rsidP="00E8577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Associated phenotypes</w:t>
            </w:r>
          </w:p>
        </w:tc>
        <w:tc>
          <w:tcPr>
            <w:tcW w:w="1727" w:type="dxa"/>
            <w:shd w:val="clear" w:color="auto" w:fill="C6D9F1" w:themeFill="text2" w:themeFillTint="33"/>
            <w:hideMark/>
          </w:tcPr>
          <w:p w:rsidR="008A6DC4" w:rsidRPr="008278B6" w:rsidRDefault="008A6DC4" w:rsidP="00E85771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OMIM</w:t>
            </w:r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AMH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Persistent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Mullerian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duct syndrome type 1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0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261550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AMHR2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Persistent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Mullerian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duct syndrome type 2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1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261550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Androgen insensitivity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X-linked Hypospadias type 1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2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300068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3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300633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CDKN1C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IMAGE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4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614732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CHD7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CHARGE syndrome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Hypogonadotropic hypogonadism type 5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5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214800</w:t>
              </w:r>
            </w:hyperlink>
          </w:p>
          <w:p w:rsidR="008278B6" w:rsidRPr="008278B6" w:rsidRDefault="008278B6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  <w:t>612370</w:t>
            </w:r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CYB5A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Methemoglobinemia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 ambiguous genitalia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6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250790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CYP11A1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Congenital adrenal insufficiency with 46,XY sex reversal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7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613743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CYP11B1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Adrenal hyperplasia, congenital, due to 11-beta-hydroxylase deficiency</w:t>
            </w:r>
          </w:p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Glucocorticoid-remediable 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aldosteronism</w:t>
            </w:r>
            <w:proofErr w:type="spellEnd"/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8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202010</w:t>
              </w:r>
            </w:hyperlink>
          </w:p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39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103900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CYP17A1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disorder of sex development due to isolated 17,20-lyase deficiency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0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202110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CYP19A1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Aromatase excess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1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139300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CYP21A2*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Congenital adrenal hyperplasia due to 21-hydroxylase deficiency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2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201910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DHCR7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Smith-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Lemli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Opitz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3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270400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HSD17B3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disorder of sex development due to 17-beta-hydroxysteroid dehydrogenase 3 deficiency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4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264300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HSD3B2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Congenital adrenal hyperplasia due to 3-beta-hydroxysteroid dehydrogenase 2 deficiency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5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201810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LHCGR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Leydig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cell hypoplasia due to complete LH resistance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6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238320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POR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Antley-Bixler</w:t>
            </w:r>
            <w:proofErr w:type="spellEnd"/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syndrome with genital anomalies and disordered steroidogenesis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7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201750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SAMD9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MIRAGE syndrome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8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617053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SGPL1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Nephrotic syndrome type 14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49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617575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SRD5A2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46,XY disorder of sex development due to 5-alpha-reductase 2 deficiency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50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264600</w:t>
              </w:r>
            </w:hyperlink>
          </w:p>
        </w:tc>
      </w:tr>
      <w:tr w:rsidR="008278B6" w:rsidRPr="008278B6" w:rsidTr="008A6DC4">
        <w:trPr>
          <w:trHeight w:val="150"/>
          <w:jc w:val="center"/>
        </w:trPr>
        <w:tc>
          <w:tcPr>
            <w:tcW w:w="1207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STAR</w:t>
            </w:r>
          </w:p>
        </w:tc>
        <w:tc>
          <w:tcPr>
            <w:tcW w:w="9938" w:type="dxa"/>
            <w:hideMark/>
          </w:tcPr>
          <w:p w:rsidR="008278B6" w:rsidRPr="008278B6" w:rsidRDefault="008278B6" w:rsidP="008278B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278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Lipoid adrenal hyperplasia</w:t>
            </w:r>
          </w:p>
        </w:tc>
        <w:tc>
          <w:tcPr>
            <w:tcW w:w="1727" w:type="dxa"/>
            <w:hideMark/>
          </w:tcPr>
          <w:p w:rsidR="008278B6" w:rsidRPr="008278B6" w:rsidRDefault="004366AC" w:rsidP="008278B6">
            <w:pPr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hyperlink r:id="rId51" w:history="1">
              <w:r w:rsidR="008278B6" w:rsidRPr="008278B6">
                <w:rPr>
                  <w:rFonts w:eastAsia="Times New Roman" w:cs="Times New Roman"/>
                  <w:color w:val="0070C0"/>
                  <w:sz w:val="24"/>
                  <w:szCs w:val="24"/>
                  <w:u w:val="single"/>
                  <w:lang w:eastAsia="en-GB"/>
                </w:rPr>
                <w:t>201710</w:t>
              </w:r>
            </w:hyperlink>
          </w:p>
        </w:tc>
      </w:tr>
    </w:tbl>
    <w:p w:rsidR="008744EE" w:rsidRDefault="008278B6" w:rsidP="008278B6">
      <w:pPr>
        <w:jc w:val="both"/>
      </w:pPr>
      <w:r w:rsidRPr="008278B6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*Due to the presence of pseudogenes with very high sequence similarity, mapping of reads over this gene is suboptimal. If a diagnosis of Congenital Adrenal Hyperplasia due to 21-hydroxylase deficiency (CAH) is suspected please request additional testing (Sanger sequencing and copy number analysis by MLPA).</w:t>
      </w:r>
    </w:p>
    <w:sectPr w:rsidR="008744EE" w:rsidSect="008278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6"/>
    <w:rsid w:val="003E6A8C"/>
    <w:rsid w:val="004366AC"/>
    <w:rsid w:val="008278B6"/>
    <w:rsid w:val="008744EE"/>
    <w:rsid w:val="008A6DC4"/>
    <w:rsid w:val="00C65007"/>
    <w:rsid w:val="00C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8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8B6"/>
    <w:rPr>
      <w:b/>
      <w:bCs/>
    </w:rPr>
  </w:style>
  <w:style w:type="character" w:styleId="Emphasis">
    <w:name w:val="Emphasis"/>
    <w:basedOn w:val="DefaultParagraphFont"/>
    <w:uiPriority w:val="20"/>
    <w:qFormat/>
    <w:rsid w:val="008278B6"/>
    <w:rPr>
      <w:i/>
      <w:iCs/>
    </w:rPr>
  </w:style>
  <w:style w:type="table" w:styleId="TableGrid">
    <w:name w:val="Table Grid"/>
    <w:basedOn w:val="TableNormal"/>
    <w:uiPriority w:val="59"/>
    <w:rsid w:val="0082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8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8B6"/>
    <w:rPr>
      <w:b/>
      <w:bCs/>
    </w:rPr>
  </w:style>
  <w:style w:type="character" w:styleId="Emphasis">
    <w:name w:val="Emphasis"/>
    <w:basedOn w:val="DefaultParagraphFont"/>
    <w:uiPriority w:val="20"/>
    <w:qFormat/>
    <w:rsid w:val="008278B6"/>
    <w:rPr>
      <w:i/>
      <w:iCs/>
    </w:rPr>
  </w:style>
  <w:style w:type="table" w:styleId="TableGrid">
    <w:name w:val="Table Grid"/>
    <w:basedOn w:val="TableNormal"/>
    <w:uiPriority w:val="59"/>
    <w:rsid w:val="0082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im.org/entry/613762" TargetMode="External"/><Relationship Id="rId18" Type="http://schemas.openxmlformats.org/officeDocument/2006/relationships/hyperlink" Target="https://www.omim.org/entry/612964" TargetMode="External"/><Relationship Id="rId26" Type="http://schemas.openxmlformats.org/officeDocument/2006/relationships/hyperlink" Target="https://www.omim.org/entry/400044" TargetMode="External"/><Relationship Id="rId39" Type="http://schemas.openxmlformats.org/officeDocument/2006/relationships/hyperlink" Target="https://www.omim.org/entry/1039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mim.org/entry/610644" TargetMode="External"/><Relationship Id="rId34" Type="http://schemas.openxmlformats.org/officeDocument/2006/relationships/hyperlink" Target="https://www.omim.org/entry/614732" TargetMode="External"/><Relationship Id="rId42" Type="http://schemas.openxmlformats.org/officeDocument/2006/relationships/hyperlink" Target="https://omim.org/entry/201910" TargetMode="External"/><Relationship Id="rId47" Type="http://schemas.openxmlformats.org/officeDocument/2006/relationships/hyperlink" Target="https://omim.org/entry/201750" TargetMode="External"/><Relationship Id="rId50" Type="http://schemas.openxmlformats.org/officeDocument/2006/relationships/hyperlink" Target="https://omim.org/entry/264600" TargetMode="External"/><Relationship Id="rId7" Type="http://schemas.openxmlformats.org/officeDocument/2006/relationships/hyperlink" Target="https://www.omim.org/entry/301040" TargetMode="External"/><Relationship Id="rId12" Type="http://schemas.openxmlformats.org/officeDocument/2006/relationships/hyperlink" Target="https://omim.org/entry/300219" TargetMode="External"/><Relationship Id="rId17" Type="http://schemas.openxmlformats.org/officeDocument/2006/relationships/hyperlink" Target="https://www.omim.org/entry/612965" TargetMode="External"/><Relationship Id="rId25" Type="http://schemas.openxmlformats.org/officeDocument/2006/relationships/hyperlink" Target="https://www.omim.org/entry/400045" TargetMode="External"/><Relationship Id="rId33" Type="http://schemas.openxmlformats.org/officeDocument/2006/relationships/hyperlink" Target="https://www.omim.org/entry/300633" TargetMode="External"/><Relationship Id="rId38" Type="http://schemas.openxmlformats.org/officeDocument/2006/relationships/hyperlink" Target="https://www.omim.org/entry/202010" TargetMode="External"/><Relationship Id="rId46" Type="http://schemas.openxmlformats.org/officeDocument/2006/relationships/hyperlink" Target="https://omim.org/entry/238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mim.org/entry/617480" TargetMode="External"/><Relationship Id="rId20" Type="http://schemas.openxmlformats.org/officeDocument/2006/relationships/hyperlink" Target="https://www.omim.org/clinicalSynopsis/300998" TargetMode="External"/><Relationship Id="rId29" Type="http://schemas.openxmlformats.org/officeDocument/2006/relationships/hyperlink" Target="https://www.omim.org/entry/136680" TargetMode="External"/><Relationship Id="rId41" Type="http://schemas.openxmlformats.org/officeDocument/2006/relationships/hyperlink" Target="https://omim.org/entry/139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mim.org/entry/300215" TargetMode="External"/><Relationship Id="rId11" Type="http://schemas.openxmlformats.org/officeDocument/2006/relationships/hyperlink" Target="https://omim.org/entry/300120?search=mamld1&amp;highlight=mamld1" TargetMode="External"/><Relationship Id="rId24" Type="http://schemas.openxmlformats.org/officeDocument/2006/relationships/hyperlink" Target="https://www.omim.org/entry/613266" TargetMode="External"/><Relationship Id="rId32" Type="http://schemas.openxmlformats.org/officeDocument/2006/relationships/hyperlink" Target="https://www.omim.org/entry/300068" TargetMode="External"/><Relationship Id="rId37" Type="http://schemas.openxmlformats.org/officeDocument/2006/relationships/hyperlink" Target="https://www.omim.org/entry/613743" TargetMode="External"/><Relationship Id="rId40" Type="http://schemas.openxmlformats.org/officeDocument/2006/relationships/hyperlink" Target="https://omim.org/entry/202110" TargetMode="External"/><Relationship Id="rId45" Type="http://schemas.openxmlformats.org/officeDocument/2006/relationships/hyperlink" Target="https://omim.org/entry/20181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omim.org/entry/300004" TargetMode="External"/><Relationship Id="rId15" Type="http://schemas.openxmlformats.org/officeDocument/2006/relationships/hyperlink" Target="https://www.omim.org/entry/300200" TargetMode="External"/><Relationship Id="rId23" Type="http://schemas.openxmlformats.org/officeDocument/2006/relationships/hyperlink" Target="https://www.omim.org/entry/609136" TargetMode="External"/><Relationship Id="rId28" Type="http://schemas.openxmlformats.org/officeDocument/2006/relationships/hyperlink" Target="https://www.omim.org/entry/194080" TargetMode="External"/><Relationship Id="rId36" Type="http://schemas.openxmlformats.org/officeDocument/2006/relationships/hyperlink" Target="https://www.omim.org/entry/250790" TargetMode="External"/><Relationship Id="rId49" Type="http://schemas.openxmlformats.org/officeDocument/2006/relationships/hyperlink" Target="https://omim.org/entry/617575" TargetMode="External"/><Relationship Id="rId10" Type="http://schemas.openxmlformats.org/officeDocument/2006/relationships/hyperlink" Target="https://omim.org/entry/607080" TargetMode="External"/><Relationship Id="rId19" Type="http://schemas.openxmlformats.org/officeDocument/2006/relationships/hyperlink" Target="https://www.omim.org/entry/613957" TargetMode="External"/><Relationship Id="rId31" Type="http://schemas.openxmlformats.org/officeDocument/2006/relationships/hyperlink" Target="https://www.omim.org/entry/261550" TargetMode="External"/><Relationship Id="rId44" Type="http://schemas.openxmlformats.org/officeDocument/2006/relationships/hyperlink" Target="https://omim.org/entry/26430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mim.org/entry/607080" TargetMode="External"/><Relationship Id="rId14" Type="http://schemas.openxmlformats.org/officeDocument/2006/relationships/hyperlink" Target="https://www.omim.org/entry/300018" TargetMode="External"/><Relationship Id="rId22" Type="http://schemas.openxmlformats.org/officeDocument/2006/relationships/hyperlink" Target="https://www.omim.org/entry/114290" TargetMode="External"/><Relationship Id="rId27" Type="http://schemas.openxmlformats.org/officeDocument/2006/relationships/hyperlink" Target="https://www.omim.org/entry/614969" TargetMode="External"/><Relationship Id="rId30" Type="http://schemas.openxmlformats.org/officeDocument/2006/relationships/hyperlink" Target="https://www.omim.org/entry/261550" TargetMode="External"/><Relationship Id="rId35" Type="http://schemas.openxmlformats.org/officeDocument/2006/relationships/hyperlink" Target="https://www.omim.org/entry/214800" TargetMode="External"/><Relationship Id="rId43" Type="http://schemas.openxmlformats.org/officeDocument/2006/relationships/hyperlink" Target="https://omim.org/entry/270400" TargetMode="External"/><Relationship Id="rId48" Type="http://schemas.openxmlformats.org/officeDocument/2006/relationships/hyperlink" Target="https://omim.org/entry/617053" TargetMode="External"/><Relationship Id="rId8" Type="http://schemas.openxmlformats.org/officeDocument/2006/relationships/hyperlink" Target="https://omim.org/entry/300354" TargetMode="External"/><Relationship Id="rId51" Type="http://schemas.openxmlformats.org/officeDocument/2006/relationships/hyperlink" Target="https://omim.org/entry/201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owensm</dc:creator>
  <cp:lastModifiedBy>owensm</cp:lastModifiedBy>
  <cp:revision>5</cp:revision>
  <dcterms:created xsi:type="dcterms:W3CDTF">2020-02-13T14:58:00Z</dcterms:created>
  <dcterms:modified xsi:type="dcterms:W3CDTF">2020-02-13T15:15:00Z</dcterms:modified>
</cp:coreProperties>
</file>