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CC" w:rsidRPr="00D822CC" w:rsidRDefault="00D822CC" w:rsidP="00D822CC">
      <w:pPr>
        <w:spacing w:line="240" w:lineRule="auto"/>
        <w:jc w:val="right"/>
        <w:rPr>
          <w:rFonts w:cs="Arial"/>
          <w:b/>
          <w:sz w:val="24"/>
          <w:szCs w:val="24"/>
        </w:rPr>
      </w:pPr>
      <w:bookmarkStart w:id="0" w:name="_GoBack"/>
      <w:bookmarkEnd w:id="0"/>
    </w:p>
    <w:tbl>
      <w:tblPr>
        <w:tblStyle w:val="TableGrid1"/>
        <w:tblpPr w:leftFromText="180" w:rightFromText="180" w:vertAnchor="page" w:horzAnchor="margin" w:tblpY="2028"/>
        <w:tblW w:w="0" w:type="auto"/>
        <w:tblLook w:val="04A0" w:firstRow="1" w:lastRow="0" w:firstColumn="1" w:lastColumn="0" w:noHBand="0" w:noVBand="1"/>
      </w:tblPr>
      <w:tblGrid>
        <w:gridCol w:w="9747"/>
      </w:tblGrid>
      <w:tr w:rsidR="008A7655" w:rsidRPr="00D822CC" w:rsidTr="00722335">
        <w:tc>
          <w:tcPr>
            <w:tcW w:w="9747" w:type="dxa"/>
            <w:shd w:val="clear" w:color="auto" w:fill="D9D9D9" w:themeFill="background1" w:themeFillShade="D9"/>
          </w:tcPr>
          <w:p w:rsidR="008A7655" w:rsidRPr="00722335" w:rsidRDefault="008A7655" w:rsidP="00722335">
            <w:pPr>
              <w:jc w:val="center"/>
              <w:rPr>
                <w:rFonts w:cs="Arial"/>
                <w:b/>
                <w:sz w:val="32"/>
                <w:szCs w:val="32"/>
              </w:rPr>
            </w:pPr>
            <w:r w:rsidRPr="00722335">
              <w:rPr>
                <w:rFonts w:cs="Arial"/>
                <w:b/>
                <w:sz w:val="32"/>
                <w:szCs w:val="32"/>
              </w:rPr>
              <w:t xml:space="preserve">Clinical Guideline for the </w:t>
            </w:r>
            <w:r w:rsidRPr="00722335">
              <w:rPr>
                <w:rFonts w:cs="Arial"/>
                <w:b/>
                <w:bCs/>
                <w:sz w:val="32"/>
                <w:szCs w:val="32"/>
              </w:rPr>
              <w:t>administration of Parenteral Iron Infusions</w:t>
            </w:r>
            <w:r w:rsidR="00D9120B" w:rsidRPr="00722335">
              <w:rPr>
                <w:rFonts w:cs="Arial"/>
                <w:b/>
                <w:bCs/>
                <w:sz w:val="32"/>
                <w:szCs w:val="32"/>
              </w:rPr>
              <w:t xml:space="preserve"> (Monofer)</w:t>
            </w:r>
            <w:r w:rsidRPr="00722335">
              <w:rPr>
                <w:rFonts w:cs="Arial"/>
                <w:b/>
                <w:bCs/>
                <w:sz w:val="32"/>
                <w:szCs w:val="32"/>
              </w:rPr>
              <w:t xml:space="preserve"> in Community Hospitals</w:t>
            </w:r>
            <w:r w:rsidR="00D9120B" w:rsidRPr="00722335">
              <w:rPr>
                <w:rFonts w:cs="Arial"/>
                <w:b/>
                <w:bCs/>
                <w:sz w:val="32"/>
                <w:szCs w:val="32"/>
              </w:rPr>
              <w:t xml:space="preserve"> </w:t>
            </w:r>
            <w:r w:rsidR="001912F1" w:rsidRPr="00722335">
              <w:rPr>
                <w:rFonts w:cs="Arial"/>
                <w:b/>
                <w:bCs/>
                <w:sz w:val="32"/>
                <w:szCs w:val="32"/>
              </w:rPr>
              <w:t xml:space="preserve">day case patients </w:t>
            </w:r>
            <w:r w:rsidR="00D9120B" w:rsidRPr="00722335">
              <w:rPr>
                <w:rFonts w:cs="Arial"/>
                <w:b/>
                <w:bCs/>
                <w:sz w:val="32"/>
                <w:szCs w:val="32"/>
              </w:rPr>
              <w:t xml:space="preserve">and for appropriate </w:t>
            </w:r>
            <w:r w:rsidR="00722335" w:rsidRPr="00722335">
              <w:rPr>
                <w:rFonts w:cs="Arial"/>
                <w:b/>
                <w:bCs/>
                <w:sz w:val="32"/>
                <w:szCs w:val="32"/>
              </w:rPr>
              <w:t xml:space="preserve">RDE </w:t>
            </w:r>
            <w:r w:rsidR="001912F1" w:rsidRPr="00722335">
              <w:rPr>
                <w:rFonts w:cs="Arial"/>
                <w:b/>
                <w:bCs/>
                <w:sz w:val="32"/>
                <w:szCs w:val="32"/>
              </w:rPr>
              <w:t>a</w:t>
            </w:r>
            <w:r w:rsidR="00D9120B" w:rsidRPr="00722335">
              <w:rPr>
                <w:rFonts w:cs="Arial"/>
                <w:b/>
                <w:bCs/>
                <w:sz w:val="32"/>
                <w:szCs w:val="32"/>
              </w:rPr>
              <w:t xml:space="preserve">mbulatory </w:t>
            </w:r>
            <w:r w:rsidR="00D639EC" w:rsidRPr="00722335">
              <w:rPr>
                <w:rFonts w:cs="Arial"/>
                <w:b/>
                <w:bCs/>
                <w:sz w:val="32"/>
                <w:szCs w:val="32"/>
              </w:rPr>
              <w:t>p</w:t>
            </w:r>
            <w:r w:rsidR="00D9120B" w:rsidRPr="00722335">
              <w:rPr>
                <w:rFonts w:cs="Arial"/>
                <w:b/>
                <w:bCs/>
                <w:sz w:val="32"/>
                <w:szCs w:val="32"/>
              </w:rPr>
              <w:t xml:space="preserve">atients </w:t>
            </w:r>
          </w:p>
        </w:tc>
      </w:tr>
    </w:tbl>
    <w:p w:rsidR="00722335" w:rsidRDefault="00722335" w:rsidP="00D822CC">
      <w:pPr>
        <w:contextualSpacing/>
        <w:rPr>
          <w:rFonts w:cs="Arial"/>
          <w:b/>
          <w:sz w:val="28"/>
          <w:szCs w:val="28"/>
        </w:rPr>
      </w:pPr>
    </w:p>
    <w:p w:rsidR="00D822CC" w:rsidRPr="00722335" w:rsidRDefault="00D822CC" w:rsidP="00D822CC">
      <w:pPr>
        <w:contextualSpacing/>
        <w:rPr>
          <w:rFonts w:cs="Arial"/>
          <w:b/>
          <w:sz w:val="28"/>
          <w:szCs w:val="28"/>
        </w:rPr>
      </w:pPr>
      <w:r w:rsidRPr="00722335">
        <w:rPr>
          <w:rFonts w:cs="Arial"/>
          <w:b/>
          <w:sz w:val="28"/>
          <w:szCs w:val="28"/>
        </w:rPr>
        <w:t>SUMMARY</w:t>
      </w:r>
    </w:p>
    <w:tbl>
      <w:tblPr>
        <w:tblStyle w:val="TableGrid1"/>
        <w:tblW w:w="0" w:type="auto"/>
        <w:tblLook w:val="04A0" w:firstRow="1" w:lastRow="0" w:firstColumn="1" w:lastColumn="0" w:noHBand="0" w:noVBand="1"/>
      </w:tblPr>
      <w:tblGrid>
        <w:gridCol w:w="9747"/>
      </w:tblGrid>
      <w:tr w:rsidR="00D822CC" w:rsidRPr="00D822CC" w:rsidTr="00722335">
        <w:tc>
          <w:tcPr>
            <w:tcW w:w="9747" w:type="dxa"/>
          </w:tcPr>
          <w:p w:rsidR="00D822CC" w:rsidRDefault="00020062" w:rsidP="00DC1190">
            <w:pPr>
              <w:jc w:val="both"/>
              <w:rPr>
                <w:rFonts w:cs="Arial"/>
                <w:sz w:val="24"/>
                <w:szCs w:val="24"/>
              </w:rPr>
            </w:pPr>
            <w:r w:rsidRPr="00020062">
              <w:rPr>
                <w:rFonts w:cs="Arial"/>
                <w:sz w:val="24"/>
                <w:szCs w:val="24"/>
              </w:rPr>
              <w:t xml:space="preserve">This guideline </w:t>
            </w:r>
            <w:r>
              <w:rPr>
                <w:rFonts w:cs="Arial"/>
                <w:sz w:val="24"/>
                <w:szCs w:val="24"/>
              </w:rPr>
              <w:t>outlines the</w:t>
            </w:r>
            <w:r w:rsidRPr="00020062">
              <w:rPr>
                <w:rFonts w:cs="Arial"/>
                <w:sz w:val="24"/>
                <w:szCs w:val="24"/>
              </w:rPr>
              <w:t xml:space="preserve"> process to support the appropriate admin</w:t>
            </w:r>
            <w:r>
              <w:rPr>
                <w:rFonts w:cs="Arial"/>
                <w:sz w:val="24"/>
                <w:szCs w:val="24"/>
              </w:rPr>
              <w:t>i</w:t>
            </w:r>
            <w:r w:rsidRPr="00020062">
              <w:rPr>
                <w:rFonts w:cs="Arial"/>
                <w:sz w:val="24"/>
                <w:szCs w:val="24"/>
              </w:rPr>
              <w:t>st</w:t>
            </w:r>
            <w:r>
              <w:rPr>
                <w:rFonts w:cs="Arial"/>
                <w:sz w:val="24"/>
                <w:szCs w:val="24"/>
              </w:rPr>
              <w:t>r</w:t>
            </w:r>
            <w:r w:rsidRPr="00020062">
              <w:rPr>
                <w:rFonts w:cs="Arial"/>
                <w:sz w:val="24"/>
                <w:szCs w:val="24"/>
              </w:rPr>
              <w:t>ation of Iron infusions in Community Hospitals</w:t>
            </w:r>
            <w:r w:rsidR="00D9120B">
              <w:rPr>
                <w:rFonts w:cs="Arial"/>
                <w:sz w:val="24"/>
                <w:szCs w:val="24"/>
              </w:rPr>
              <w:t xml:space="preserve"> </w:t>
            </w:r>
            <w:r w:rsidR="00D9120B" w:rsidRPr="00ED74B2">
              <w:rPr>
                <w:rFonts w:cs="Arial"/>
                <w:sz w:val="24"/>
                <w:szCs w:val="24"/>
              </w:rPr>
              <w:t>(these guidelines may also be appropriate for ambulatory patients at the RDE)</w:t>
            </w:r>
            <w:r w:rsidR="007D7273" w:rsidRPr="00ED74B2">
              <w:rPr>
                <w:rFonts w:cs="Arial"/>
                <w:sz w:val="24"/>
                <w:szCs w:val="24"/>
              </w:rPr>
              <w:t>.</w:t>
            </w:r>
            <w:r>
              <w:rPr>
                <w:rFonts w:cs="Arial"/>
                <w:sz w:val="24"/>
                <w:szCs w:val="24"/>
              </w:rPr>
              <w:t xml:space="preserve"> </w:t>
            </w:r>
            <w:r w:rsidRPr="00020062">
              <w:rPr>
                <w:rFonts w:cs="Arial"/>
                <w:sz w:val="24"/>
                <w:szCs w:val="24"/>
              </w:rPr>
              <w:t xml:space="preserve"> </w:t>
            </w:r>
          </w:p>
          <w:p w:rsidR="00DC1190" w:rsidRDefault="00DC1190" w:rsidP="00DC1190">
            <w:pPr>
              <w:jc w:val="both"/>
              <w:rPr>
                <w:rFonts w:cs="Arial"/>
                <w:sz w:val="24"/>
                <w:szCs w:val="24"/>
              </w:rPr>
            </w:pPr>
          </w:p>
          <w:p w:rsidR="00020062" w:rsidRDefault="00020062" w:rsidP="00DC1190">
            <w:pPr>
              <w:jc w:val="both"/>
              <w:rPr>
                <w:rFonts w:cs="Arial"/>
                <w:sz w:val="24"/>
                <w:szCs w:val="24"/>
              </w:rPr>
            </w:pPr>
            <w:r w:rsidRPr="00020062">
              <w:rPr>
                <w:rFonts w:cs="Arial"/>
                <w:sz w:val="24"/>
                <w:szCs w:val="24"/>
              </w:rPr>
              <w:t xml:space="preserve">Parenteral Iron is indicated for patients with </w:t>
            </w:r>
            <w:r w:rsidR="002D2890">
              <w:rPr>
                <w:rFonts w:cs="Arial"/>
                <w:sz w:val="24"/>
                <w:szCs w:val="24"/>
              </w:rPr>
              <w:t>i</w:t>
            </w:r>
            <w:r w:rsidRPr="00020062">
              <w:rPr>
                <w:rFonts w:cs="Arial"/>
                <w:sz w:val="24"/>
                <w:szCs w:val="24"/>
              </w:rPr>
              <w:t>ron deficiency anaemia when oral Iron therapy is unsuccessful or not tolerated.</w:t>
            </w:r>
          </w:p>
          <w:p w:rsidR="00DC1190" w:rsidRDefault="00DC1190" w:rsidP="00DC1190">
            <w:pPr>
              <w:jc w:val="both"/>
              <w:rPr>
                <w:rFonts w:cs="Arial"/>
                <w:sz w:val="24"/>
                <w:szCs w:val="24"/>
              </w:rPr>
            </w:pPr>
          </w:p>
          <w:p w:rsidR="00DC1190" w:rsidRPr="00D822CC" w:rsidRDefault="001912F1" w:rsidP="00280FC4">
            <w:pPr>
              <w:jc w:val="both"/>
              <w:rPr>
                <w:rFonts w:cs="Arial"/>
                <w:sz w:val="24"/>
                <w:szCs w:val="24"/>
              </w:rPr>
            </w:pPr>
            <w:r>
              <w:rPr>
                <w:rFonts w:cs="Arial"/>
                <w:sz w:val="24"/>
                <w:szCs w:val="24"/>
              </w:rPr>
              <w:t>As per these guidelines</w:t>
            </w:r>
            <w:r>
              <w:t xml:space="preserve"> i</w:t>
            </w:r>
            <w:r w:rsidR="00020062" w:rsidRPr="00020062">
              <w:rPr>
                <w:rFonts w:cs="Arial"/>
                <w:sz w:val="24"/>
                <w:szCs w:val="24"/>
              </w:rPr>
              <w:t xml:space="preserve">ntravenous iron is </w:t>
            </w:r>
            <w:r w:rsidR="00020062">
              <w:rPr>
                <w:rFonts w:cs="Arial"/>
                <w:sz w:val="24"/>
                <w:szCs w:val="24"/>
              </w:rPr>
              <w:t xml:space="preserve">only to be </w:t>
            </w:r>
            <w:r w:rsidR="00020062" w:rsidRPr="00020062">
              <w:rPr>
                <w:rFonts w:cs="Arial"/>
                <w:sz w:val="24"/>
                <w:szCs w:val="24"/>
              </w:rPr>
              <w:t>administered as an infusion</w:t>
            </w:r>
            <w:r w:rsidR="00020062">
              <w:rPr>
                <w:rFonts w:cs="Arial"/>
                <w:sz w:val="24"/>
                <w:szCs w:val="24"/>
              </w:rPr>
              <w:t xml:space="preserve"> </w:t>
            </w:r>
            <w:r>
              <w:rPr>
                <w:rFonts w:cs="Arial"/>
                <w:sz w:val="24"/>
                <w:szCs w:val="24"/>
              </w:rPr>
              <w:t xml:space="preserve">and not as an </w:t>
            </w:r>
            <w:r w:rsidRPr="001912F1">
              <w:rPr>
                <w:rFonts w:cs="Arial"/>
                <w:sz w:val="24"/>
                <w:szCs w:val="24"/>
              </w:rPr>
              <w:t>intravenous bolus injection</w:t>
            </w:r>
            <w:r>
              <w:rPr>
                <w:rFonts w:cs="Arial"/>
                <w:sz w:val="24"/>
                <w:szCs w:val="24"/>
              </w:rPr>
              <w:t>.</w:t>
            </w:r>
          </w:p>
        </w:tc>
      </w:tr>
    </w:tbl>
    <w:p w:rsidR="00722335" w:rsidRDefault="00722335" w:rsidP="00D822CC">
      <w:pPr>
        <w:contextualSpacing/>
        <w:rPr>
          <w:rFonts w:cs="Arial"/>
          <w:b/>
          <w:sz w:val="28"/>
          <w:szCs w:val="28"/>
        </w:rPr>
      </w:pPr>
    </w:p>
    <w:p w:rsidR="00D822CC" w:rsidRPr="00722335" w:rsidRDefault="00D822CC" w:rsidP="00D822CC">
      <w:pPr>
        <w:contextualSpacing/>
        <w:rPr>
          <w:rFonts w:cs="Arial"/>
          <w:b/>
          <w:sz w:val="28"/>
          <w:szCs w:val="28"/>
        </w:rPr>
      </w:pPr>
      <w:r w:rsidRPr="00722335">
        <w:rPr>
          <w:rFonts w:cs="Arial"/>
          <w:b/>
          <w:sz w:val="28"/>
          <w:szCs w:val="28"/>
        </w:rPr>
        <w:t>KEY POINTS</w:t>
      </w:r>
    </w:p>
    <w:tbl>
      <w:tblPr>
        <w:tblStyle w:val="TableGrid1"/>
        <w:tblW w:w="9889" w:type="dxa"/>
        <w:tblLook w:val="04A0" w:firstRow="1" w:lastRow="0" w:firstColumn="1" w:lastColumn="0" w:noHBand="0" w:noVBand="1"/>
      </w:tblPr>
      <w:tblGrid>
        <w:gridCol w:w="9889"/>
      </w:tblGrid>
      <w:tr w:rsidR="00D822CC" w:rsidRPr="00D822CC" w:rsidTr="000F1298">
        <w:trPr>
          <w:trHeight w:val="2811"/>
        </w:trPr>
        <w:tc>
          <w:tcPr>
            <w:tcW w:w="9889" w:type="dxa"/>
          </w:tcPr>
          <w:p w:rsidR="002D2890" w:rsidRPr="0016298C" w:rsidRDefault="002D2890" w:rsidP="00DC1190">
            <w:pPr>
              <w:jc w:val="both"/>
              <w:rPr>
                <w:rFonts w:cs="Arial"/>
                <w:color w:val="auto"/>
                <w:sz w:val="24"/>
                <w:szCs w:val="24"/>
              </w:rPr>
            </w:pPr>
            <w:r w:rsidRPr="0016298C">
              <w:rPr>
                <w:rFonts w:cs="Arial"/>
                <w:b/>
                <w:bCs/>
                <w:color w:val="000000"/>
                <w:sz w:val="24"/>
                <w:szCs w:val="24"/>
              </w:rPr>
              <w:t>Referral</w:t>
            </w:r>
            <w:r w:rsidR="001C793E" w:rsidRPr="0016298C">
              <w:rPr>
                <w:rFonts w:cs="Arial"/>
                <w:b/>
                <w:bCs/>
                <w:color w:val="000000"/>
                <w:sz w:val="24"/>
                <w:szCs w:val="24"/>
              </w:rPr>
              <w:t>s</w:t>
            </w:r>
            <w:r w:rsidRPr="0016298C">
              <w:rPr>
                <w:rFonts w:cs="Arial"/>
                <w:b/>
                <w:bCs/>
                <w:color w:val="000000"/>
                <w:sz w:val="24"/>
                <w:szCs w:val="24"/>
              </w:rPr>
              <w:t xml:space="preserve"> </w:t>
            </w:r>
          </w:p>
          <w:p w:rsidR="002D2890" w:rsidRDefault="002D2890" w:rsidP="00DC1190">
            <w:pPr>
              <w:jc w:val="both"/>
              <w:rPr>
                <w:rFonts w:cs="Arial"/>
                <w:color w:val="000000"/>
                <w:sz w:val="24"/>
                <w:szCs w:val="24"/>
              </w:rPr>
            </w:pPr>
            <w:r w:rsidRPr="002D2890">
              <w:rPr>
                <w:rFonts w:cs="Arial"/>
                <w:color w:val="000000"/>
                <w:sz w:val="24"/>
                <w:szCs w:val="24"/>
              </w:rPr>
              <w:t xml:space="preserve">Patients appropriate for </w:t>
            </w:r>
            <w:r w:rsidR="006F4AA6">
              <w:rPr>
                <w:rFonts w:cs="Arial"/>
                <w:color w:val="000000"/>
                <w:sz w:val="24"/>
                <w:szCs w:val="24"/>
              </w:rPr>
              <w:t>i</w:t>
            </w:r>
            <w:r w:rsidRPr="002D2890">
              <w:rPr>
                <w:rFonts w:cs="Arial"/>
                <w:color w:val="000000"/>
                <w:sz w:val="24"/>
                <w:szCs w:val="24"/>
              </w:rPr>
              <w:t>ron infusions in Community Hospitals  are identified either through</w:t>
            </w:r>
            <w:r w:rsidR="006F4AA6">
              <w:rPr>
                <w:rFonts w:cs="Arial"/>
                <w:color w:val="000000"/>
                <w:sz w:val="24"/>
                <w:szCs w:val="24"/>
              </w:rPr>
              <w:t>:</w:t>
            </w:r>
          </w:p>
          <w:p w:rsidR="006F4AA6" w:rsidRDefault="00AB68D7" w:rsidP="00DC1190">
            <w:pPr>
              <w:numPr>
                <w:ilvl w:val="0"/>
                <w:numId w:val="4"/>
              </w:numPr>
              <w:jc w:val="both"/>
              <w:rPr>
                <w:rFonts w:cs="Arial"/>
                <w:color w:val="auto"/>
                <w:sz w:val="24"/>
                <w:szCs w:val="24"/>
              </w:rPr>
            </w:pPr>
            <w:r w:rsidRPr="009172A8">
              <w:rPr>
                <w:rFonts w:cs="Arial"/>
                <w:color w:val="auto"/>
                <w:sz w:val="24"/>
                <w:szCs w:val="24"/>
              </w:rPr>
              <w:t>G</w:t>
            </w:r>
            <w:r w:rsidR="003672BC" w:rsidRPr="009172A8">
              <w:rPr>
                <w:rFonts w:cs="Arial"/>
                <w:color w:val="auto"/>
                <w:sz w:val="24"/>
                <w:szCs w:val="24"/>
              </w:rPr>
              <w:t xml:space="preserve">eneral </w:t>
            </w:r>
            <w:r w:rsidRPr="009172A8">
              <w:rPr>
                <w:rFonts w:cs="Arial"/>
                <w:color w:val="auto"/>
                <w:sz w:val="24"/>
                <w:szCs w:val="24"/>
              </w:rPr>
              <w:t>P</w:t>
            </w:r>
            <w:r w:rsidR="003672BC" w:rsidRPr="009172A8">
              <w:rPr>
                <w:rFonts w:cs="Arial"/>
                <w:color w:val="auto"/>
                <w:sz w:val="24"/>
                <w:szCs w:val="24"/>
              </w:rPr>
              <w:t>ractitioner (GP)</w:t>
            </w:r>
            <w:r w:rsidRPr="009172A8">
              <w:rPr>
                <w:rFonts w:cs="Arial"/>
                <w:color w:val="auto"/>
                <w:sz w:val="24"/>
                <w:szCs w:val="24"/>
              </w:rPr>
              <w:t xml:space="preserve"> direct</w:t>
            </w:r>
            <w:r w:rsidRPr="006F4AA6">
              <w:rPr>
                <w:rFonts w:cs="Arial"/>
                <w:color w:val="auto"/>
                <w:sz w:val="24"/>
                <w:szCs w:val="24"/>
              </w:rPr>
              <w:t xml:space="preserve"> request </w:t>
            </w:r>
          </w:p>
          <w:p w:rsidR="006F4AA6" w:rsidRPr="006F4AA6" w:rsidRDefault="006F4AA6" w:rsidP="00DC1190">
            <w:pPr>
              <w:numPr>
                <w:ilvl w:val="0"/>
                <w:numId w:val="4"/>
              </w:numPr>
              <w:jc w:val="both"/>
              <w:rPr>
                <w:rFonts w:cs="Arial"/>
                <w:color w:val="auto"/>
                <w:sz w:val="24"/>
                <w:szCs w:val="24"/>
              </w:rPr>
            </w:pPr>
            <w:r w:rsidRPr="006F4AA6">
              <w:rPr>
                <w:rFonts w:cs="Arial"/>
                <w:color w:val="auto"/>
                <w:sz w:val="24"/>
                <w:szCs w:val="24"/>
              </w:rPr>
              <w:t>Secondary Care consultant request</w:t>
            </w:r>
          </w:p>
          <w:p w:rsidR="006F4AA6" w:rsidRDefault="006F4AA6" w:rsidP="00DC1190">
            <w:pPr>
              <w:numPr>
                <w:ilvl w:val="0"/>
                <w:numId w:val="4"/>
              </w:numPr>
              <w:jc w:val="both"/>
              <w:rPr>
                <w:rFonts w:cs="Arial"/>
                <w:color w:val="auto"/>
                <w:sz w:val="24"/>
                <w:szCs w:val="24"/>
              </w:rPr>
            </w:pPr>
            <w:r>
              <w:rPr>
                <w:rFonts w:cs="Arial"/>
                <w:color w:val="auto"/>
                <w:sz w:val="24"/>
                <w:szCs w:val="24"/>
              </w:rPr>
              <w:t xml:space="preserve">Hospital Transfusion Team discussion with GP after review of a blood transfusion request </w:t>
            </w:r>
          </w:p>
          <w:p w:rsidR="002D2890" w:rsidRPr="00D639EC" w:rsidRDefault="002D2890" w:rsidP="00DC1190">
            <w:pPr>
              <w:jc w:val="both"/>
              <w:rPr>
                <w:rFonts w:cs="Arial"/>
              </w:rPr>
            </w:pPr>
          </w:p>
          <w:p w:rsidR="00D639EC" w:rsidRDefault="00D639EC" w:rsidP="001912F1">
            <w:pPr>
              <w:jc w:val="both"/>
              <w:rPr>
                <w:rFonts w:cs="Arial"/>
                <w:sz w:val="24"/>
                <w:szCs w:val="24"/>
              </w:rPr>
            </w:pPr>
            <w:r w:rsidRPr="00D639EC">
              <w:rPr>
                <w:rFonts w:cs="Arial"/>
                <w:sz w:val="24"/>
                <w:szCs w:val="24"/>
              </w:rPr>
              <w:t>Referrals</w:t>
            </w:r>
            <w:r w:rsidR="001912F1" w:rsidRPr="00D639EC">
              <w:rPr>
                <w:rFonts w:cs="Arial"/>
                <w:sz w:val="24"/>
                <w:szCs w:val="24"/>
              </w:rPr>
              <w:t xml:space="preserve"> for </w:t>
            </w:r>
            <w:r w:rsidRPr="00D639EC">
              <w:rPr>
                <w:rFonts w:cs="Arial"/>
                <w:sz w:val="24"/>
                <w:szCs w:val="24"/>
              </w:rPr>
              <w:t>Community</w:t>
            </w:r>
            <w:r w:rsidR="001912F1" w:rsidRPr="00D639EC">
              <w:rPr>
                <w:rFonts w:cs="Arial"/>
                <w:sz w:val="24"/>
                <w:szCs w:val="24"/>
              </w:rPr>
              <w:t xml:space="preserve"> Hospital day transfusions are received by completing the booking form and emailing </w:t>
            </w:r>
            <w:r>
              <w:rPr>
                <w:rFonts w:cs="Arial"/>
                <w:sz w:val="24"/>
                <w:szCs w:val="24"/>
              </w:rPr>
              <w:t xml:space="preserve">it </w:t>
            </w:r>
            <w:r w:rsidR="001912F1" w:rsidRPr="00D639EC">
              <w:rPr>
                <w:rFonts w:cs="Arial"/>
                <w:sz w:val="24"/>
                <w:szCs w:val="24"/>
              </w:rPr>
              <w:t xml:space="preserve">to </w:t>
            </w:r>
            <w:hyperlink r:id="rId8" w:history="1">
              <w:r w:rsidR="001912F1" w:rsidRPr="00D639EC">
                <w:rPr>
                  <w:rStyle w:val="Hyperlink"/>
                  <w:rFonts w:cs="Arial"/>
                  <w:sz w:val="24"/>
                  <w:szCs w:val="24"/>
                  <w:u w:val="none"/>
                </w:rPr>
                <w:t>rde-tr.communitytransfusions@nhs.net</w:t>
              </w:r>
            </w:hyperlink>
          </w:p>
          <w:p w:rsidR="001912F1" w:rsidRPr="00D639EC" w:rsidRDefault="001912F1" w:rsidP="00DC1190">
            <w:pPr>
              <w:jc w:val="both"/>
              <w:rPr>
                <w:rFonts w:cs="Arial"/>
                <w:sz w:val="24"/>
                <w:szCs w:val="24"/>
              </w:rPr>
            </w:pPr>
            <w:r w:rsidRPr="00D639EC">
              <w:rPr>
                <w:rFonts w:cs="Arial"/>
                <w:sz w:val="24"/>
                <w:szCs w:val="24"/>
              </w:rPr>
              <w:t xml:space="preserve"> or </w:t>
            </w:r>
            <w:r w:rsidR="00EF66FB" w:rsidRPr="00D639EC">
              <w:rPr>
                <w:rFonts w:cs="Arial"/>
                <w:sz w:val="24"/>
                <w:szCs w:val="24"/>
              </w:rPr>
              <w:t xml:space="preserve">by </w:t>
            </w:r>
            <w:r w:rsidRPr="00D639EC">
              <w:rPr>
                <w:rFonts w:cs="Arial"/>
                <w:sz w:val="24"/>
                <w:szCs w:val="24"/>
              </w:rPr>
              <w:t xml:space="preserve">contacting day transfusions on  01395 519957 (between the hours of 9-3pm Monday to Friday) </w:t>
            </w:r>
          </w:p>
          <w:p w:rsidR="001912F1" w:rsidRDefault="001912F1" w:rsidP="00DC1190">
            <w:pPr>
              <w:jc w:val="both"/>
              <w:rPr>
                <w:rFonts w:cs="Arial"/>
                <w:b/>
                <w:sz w:val="24"/>
                <w:szCs w:val="24"/>
              </w:rPr>
            </w:pPr>
          </w:p>
          <w:p w:rsidR="00D639EC" w:rsidRPr="00D639EC" w:rsidRDefault="002D2890" w:rsidP="00DC1190">
            <w:pPr>
              <w:jc w:val="both"/>
              <w:rPr>
                <w:rFonts w:cs="Arial"/>
                <w:sz w:val="24"/>
                <w:szCs w:val="24"/>
              </w:rPr>
            </w:pPr>
            <w:r w:rsidRPr="00D639EC">
              <w:rPr>
                <w:rFonts w:cs="Arial"/>
                <w:sz w:val="24"/>
                <w:szCs w:val="24"/>
              </w:rPr>
              <w:t>Facilities for cardiopulmonary resuscitation must be available</w:t>
            </w:r>
            <w:r w:rsidR="00D639EC" w:rsidRPr="00D639EC">
              <w:rPr>
                <w:rFonts w:cs="Arial"/>
                <w:sz w:val="24"/>
                <w:szCs w:val="24"/>
              </w:rPr>
              <w:t>.</w:t>
            </w:r>
          </w:p>
          <w:p w:rsidR="001C793E" w:rsidRPr="001C793E" w:rsidRDefault="002D2890" w:rsidP="00DC1190">
            <w:pPr>
              <w:jc w:val="both"/>
              <w:rPr>
                <w:rFonts w:cs="Arial"/>
                <w:sz w:val="24"/>
                <w:szCs w:val="24"/>
              </w:rPr>
            </w:pPr>
            <w:r w:rsidRPr="001C793E">
              <w:rPr>
                <w:rFonts w:cs="Arial"/>
                <w:b/>
                <w:sz w:val="24"/>
                <w:szCs w:val="24"/>
              </w:rPr>
              <w:t xml:space="preserve"> </w:t>
            </w:r>
          </w:p>
          <w:p w:rsidR="00D822CC" w:rsidRPr="001C793E" w:rsidRDefault="001C793E" w:rsidP="00DC1190">
            <w:pPr>
              <w:contextualSpacing/>
              <w:jc w:val="both"/>
              <w:rPr>
                <w:rFonts w:cs="Arial"/>
                <w:b/>
                <w:sz w:val="24"/>
                <w:szCs w:val="24"/>
              </w:rPr>
            </w:pPr>
            <w:r w:rsidRPr="001C793E">
              <w:rPr>
                <w:rFonts w:cs="Arial"/>
                <w:b/>
                <w:sz w:val="24"/>
                <w:szCs w:val="24"/>
              </w:rPr>
              <w:t>Prescribing</w:t>
            </w:r>
          </w:p>
          <w:p w:rsidR="001C793E" w:rsidRPr="001C793E" w:rsidRDefault="001C793E" w:rsidP="00DC1190">
            <w:pPr>
              <w:contextualSpacing/>
              <w:jc w:val="both"/>
              <w:rPr>
                <w:rFonts w:cs="Arial"/>
                <w:sz w:val="24"/>
                <w:szCs w:val="24"/>
              </w:rPr>
            </w:pPr>
            <w:r w:rsidRPr="001C793E">
              <w:rPr>
                <w:rFonts w:cs="Arial"/>
                <w:sz w:val="24"/>
                <w:szCs w:val="24"/>
              </w:rPr>
              <w:t xml:space="preserve">Monofer is the only parenteral iron product  to be </w:t>
            </w:r>
            <w:r w:rsidRPr="00ED74B2">
              <w:rPr>
                <w:rFonts w:cs="Arial"/>
                <w:sz w:val="24"/>
                <w:szCs w:val="24"/>
              </w:rPr>
              <w:t xml:space="preserve">prescribed </w:t>
            </w:r>
            <w:r w:rsidR="00D9120B" w:rsidRPr="00ED74B2">
              <w:rPr>
                <w:rFonts w:cs="Arial"/>
                <w:sz w:val="24"/>
                <w:szCs w:val="24"/>
              </w:rPr>
              <w:t xml:space="preserve">in Community Hospitals </w:t>
            </w:r>
            <w:r w:rsidRPr="00ED74B2">
              <w:rPr>
                <w:rFonts w:cs="Arial"/>
                <w:sz w:val="24"/>
                <w:szCs w:val="24"/>
              </w:rPr>
              <w:t>as per recommendations in the North and East Devon Formulary</w:t>
            </w:r>
            <w:r w:rsidRPr="001C793E">
              <w:rPr>
                <w:rFonts w:cs="Arial"/>
                <w:sz w:val="24"/>
                <w:szCs w:val="24"/>
              </w:rPr>
              <w:t xml:space="preserve">  </w:t>
            </w:r>
          </w:p>
          <w:p w:rsidR="00D822CC" w:rsidRDefault="00424E0D" w:rsidP="00DC1190">
            <w:pPr>
              <w:contextualSpacing/>
              <w:jc w:val="both"/>
              <w:rPr>
                <w:rFonts w:cs="Arial"/>
                <w:sz w:val="24"/>
                <w:szCs w:val="24"/>
              </w:rPr>
            </w:pPr>
            <w:hyperlink r:id="rId9" w:history="1">
              <w:r w:rsidR="001C793E" w:rsidRPr="001C793E">
                <w:rPr>
                  <w:rStyle w:val="Hyperlink"/>
                  <w:rFonts w:cs="Arial"/>
                  <w:sz w:val="24"/>
                  <w:szCs w:val="24"/>
                </w:rPr>
                <w:t>https://northeast.devonformularyguidance.nhs.uk/formulary/chapters/9.-blood-and-nutrition/favicon.ico</w:t>
              </w:r>
            </w:hyperlink>
          </w:p>
          <w:p w:rsidR="001C793E" w:rsidRDefault="001C793E" w:rsidP="00DC1190">
            <w:pPr>
              <w:contextualSpacing/>
              <w:jc w:val="both"/>
              <w:rPr>
                <w:rFonts w:cs="Arial"/>
                <w:sz w:val="24"/>
                <w:szCs w:val="24"/>
              </w:rPr>
            </w:pPr>
          </w:p>
          <w:p w:rsidR="003672BC" w:rsidRDefault="001C793E" w:rsidP="00DC1190">
            <w:pPr>
              <w:contextualSpacing/>
              <w:jc w:val="both"/>
              <w:rPr>
                <w:rFonts w:cs="Arial"/>
                <w:sz w:val="24"/>
                <w:szCs w:val="24"/>
              </w:rPr>
            </w:pPr>
            <w:r w:rsidRPr="001C793E">
              <w:rPr>
                <w:rFonts w:cs="Arial"/>
                <w:sz w:val="24"/>
                <w:szCs w:val="24"/>
              </w:rPr>
              <w:t xml:space="preserve">The Monofer dose prescribed </w:t>
            </w:r>
            <w:r w:rsidR="00EF66FB">
              <w:rPr>
                <w:rFonts w:cs="Arial"/>
                <w:sz w:val="24"/>
                <w:szCs w:val="24"/>
              </w:rPr>
              <w:t>is</w:t>
            </w:r>
            <w:r w:rsidR="0019500B">
              <w:rPr>
                <w:rFonts w:cs="Arial"/>
                <w:sz w:val="24"/>
                <w:szCs w:val="24"/>
              </w:rPr>
              <w:t xml:space="preserve"> </w:t>
            </w:r>
            <w:r w:rsidR="0019500B" w:rsidRPr="001C793E">
              <w:rPr>
                <w:rFonts w:cs="Arial"/>
                <w:sz w:val="24"/>
                <w:szCs w:val="24"/>
              </w:rPr>
              <w:t>based</w:t>
            </w:r>
            <w:r w:rsidRPr="001C793E">
              <w:rPr>
                <w:rFonts w:cs="Arial"/>
                <w:sz w:val="24"/>
                <w:szCs w:val="24"/>
              </w:rPr>
              <w:t xml:space="preserve"> on the individual </w:t>
            </w:r>
            <w:r w:rsidR="0016298C" w:rsidRPr="001C793E">
              <w:rPr>
                <w:rFonts w:cs="Arial"/>
                <w:sz w:val="24"/>
                <w:szCs w:val="24"/>
              </w:rPr>
              <w:t>patient</w:t>
            </w:r>
            <w:r w:rsidR="006F4AA6">
              <w:rPr>
                <w:rFonts w:cs="Arial"/>
                <w:sz w:val="24"/>
                <w:szCs w:val="24"/>
              </w:rPr>
              <w:t>’</w:t>
            </w:r>
            <w:r w:rsidR="0016298C" w:rsidRPr="001C793E">
              <w:rPr>
                <w:rFonts w:cs="Arial"/>
                <w:sz w:val="24"/>
                <w:szCs w:val="24"/>
              </w:rPr>
              <w:t>s needs</w:t>
            </w:r>
            <w:r w:rsidRPr="001C793E">
              <w:rPr>
                <w:rFonts w:cs="Arial"/>
                <w:sz w:val="24"/>
                <w:szCs w:val="24"/>
              </w:rPr>
              <w:t xml:space="preserve"> including weight and iron deficit</w:t>
            </w:r>
            <w:r w:rsidR="00EF66FB">
              <w:rPr>
                <w:rFonts w:cs="Arial"/>
                <w:sz w:val="24"/>
                <w:szCs w:val="24"/>
              </w:rPr>
              <w:t>.</w:t>
            </w:r>
            <w:r w:rsidRPr="001C793E">
              <w:rPr>
                <w:rFonts w:cs="Arial"/>
                <w:sz w:val="24"/>
                <w:szCs w:val="24"/>
              </w:rPr>
              <w:t xml:space="preserve"> </w:t>
            </w:r>
            <w:r w:rsidR="006F4AA6">
              <w:rPr>
                <w:rFonts w:cs="Arial"/>
                <w:sz w:val="24"/>
                <w:szCs w:val="24"/>
              </w:rPr>
              <w:t>The prescription must be</w:t>
            </w:r>
            <w:r w:rsidRPr="001C793E">
              <w:rPr>
                <w:rFonts w:cs="Arial"/>
                <w:sz w:val="24"/>
                <w:szCs w:val="24"/>
              </w:rPr>
              <w:t xml:space="preserve"> clearly written and </w:t>
            </w:r>
            <w:r w:rsidR="0016298C" w:rsidRPr="001C793E">
              <w:rPr>
                <w:rFonts w:cs="Arial"/>
                <w:sz w:val="24"/>
                <w:szCs w:val="24"/>
              </w:rPr>
              <w:t>signed on</w:t>
            </w:r>
            <w:r w:rsidRPr="001C793E">
              <w:rPr>
                <w:rFonts w:cs="Arial"/>
                <w:sz w:val="24"/>
                <w:szCs w:val="24"/>
              </w:rPr>
              <w:t xml:space="preserve"> a</w:t>
            </w:r>
            <w:r w:rsidR="00EF66FB">
              <w:rPr>
                <w:rFonts w:cs="Arial"/>
                <w:sz w:val="24"/>
                <w:szCs w:val="24"/>
              </w:rPr>
              <w:t xml:space="preserve"> Fluid (Additive Drug) </w:t>
            </w:r>
            <w:r w:rsidRPr="009172A8">
              <w:rPr>
                <w:rFonts w:cs="Arial"/>
                <w:sz w:val="24"/>
                <w:szCs w:val="24"/>
              </w:rPr>
              <w:t xml:space="preserve">Prescription </w:t>
            </w:r>
            <w:r w:rsidR="003672BC" w:rsidRPr="009172A8">
              <w:rPr>
                <w:rFonts w:cs="Arial"/>
                <w:sz w:val="24"/>
                <w:szCs w:val="24"/>
              </w:rPr>
              <w:t xml:space="preserve">Medication </w:t>
            </w:r>
            <w:r w:rsidR="00EF66FB">
              <w:rPr>
                <w:rFonts w:cs="Arial"/>
                <w:sz w:val="24"/>
                <w:szCs w:val="24"/>
              </w:rPr>
              <w:t>Sheet</w:t>
            </w:r>
            <w:r w:rsidR="0019500B">
              <w:rPr>
                <w:rFonts w:cs="Arial"/>
                <w:sz w:val="24"/>
                <w:szCs w:val="24"/>
              </w:rPr>
              <w:t>.</w:t>
            </w:r>
            <w:r w:rsidR="0019500B" w:rsidRPr="0019500B">
              <w:rPr>
                <w:rFonts w:cs="Arial"/>
                <w:sz w:val="24"/>
                <w:szCs w:val="24"/>
              </w:rPr>
              <w:t xml:space="preserve"> </w:t>
            </w:r>
          </w:p>
          <w:p w:rsidR="00280FC4" w:rsidRDefault="00280FC4" w:rsidP="00DC1190">
            <w:pPr>
              <w:contextualSpacing/>
              <w:jc w:val="both"/>
              <w:rPr>
                <w:rFonts w:cs="Arial"/>
                <w:sz w:val="24"/>
                <w:szCs w:val="24"/>
              </w:rPr>
            </w:pPr>
          </w:p>
          <w:p w:rsidR="0019500B" w:rsidRPr="0019500B" w:rsidRDefault="0019500B" w:rsidP="00DC1190">
            <w:pPr>
              <w:contextualSpacing/>
              <w:jc w:val="both"/>
              <w:rPr>
                <w:rFonts w:cs="Arial"/>
                <w:b/>
                <w:sz w:val="24"/>
                <w:szCs w:val="24"/>
              </w:rPr>
            </w:pPr>
            <w:r w:rsidRPr="0019500B">
              <w:rPr>
                <w:rFonts w:cs="Arial"/>
                <w:b/>
                <w:sz w:val="24"/>
                <w:szCs w:val="24"/>
              </w:rPr>
              <w:t>Supplies</w:t>
            </w:r>
          </w:p>
          <w:p w:rsidR="0019500B" w:rsidRDefault="0019500B" w:rsidP="00DC1190">
            <w:pPr>
              <w:contextualSpacing/>
              <w:jc w:val="both"/>
              <w:rPr>
                <w:rFonts w:cs="Arial"/>
                <w:sz w:val="24"/>
                <w:szCs w:val="24"/>
              </w:rPr>
            </w:pPr>
            <w:r w:rsidRPr="00EE4191">
              <w:rPr>
                <w:rFonts w:cs="Arial"/>
                <w:sz w:val="24"/>
                <w:szCs w:val="24"/>
              </w:rPr>
              <w:t xml:space="preserve">Parenteral iron supplies </w:t>
            </w:r>
            <w:r w:rsidR="00EF66FB" w:rsidRPr="00EE4191">
              <w:rPr>
                <w:rFonts w:cs="Arial"/>
                <w:sz w:val="24"/>
                <w:szCs w:val="24"/>
              </w:rPr>
              <w:t>are</w:t>
            </w:r>
            <w:r w:rsidR="0016298C" w:rsidRPr="00EE4191">
              <w:rPr>
                <w:rFonts w:cs="Arial"/>
                <w:sz w:val="24"/>
                <w:szCs w:val="24"/>
              </w:rPr>
              <w:t xml:space="preserve"> </w:t>
            </w:r>
            <w:r w:rsidRPr="00EE4191">
              <w:rPr>
                <w:rFonts w:cs="Arial"/>
                <w:sz w:val="24"/>
                <w:szCs w:val="24"/>
              </w:rPr>
              <w:t>dispensed on a named patient basis by the RDE Pharmacy department</w:t>
            </w:r>
            <w:r w:rsidR="00EF66FB" w:rsidRPr="00EE4191">
              <w:rPr>
                <w:rFonts w:cs="Arial"/>
                <w:sz w:val="24"/>
                <w:szCs w:val="24"/>
              </w:rPr>
              <w:t>.</w:t>
            </w:r>
          </w:p>
          <w:p w:rsidR="00DC1190" w:rsidRDefault="00DC1190" w:rsidP="00DC1190">
            <w:pPr>
              <w:contextualSpacing/>
              <w:jc w:val="both"/>
              <w:rPr>
                <w:rFonts w:cs="Arial"/>
                <w:sz w:val="24"/>
                <w:szCs w:val="24"/>
              </w:rPr>
            </w:pPr>
          </w:p>
          <w:p w:rsidR="000F1298" w:rsidRDefault="000F1298" w:rsidP="00DC1190">
            <w:pPr>
              <w:contextualSpacing/>
              <w:jc w:val="both"/>
              <w:rPr>
                <w:rFonts w:cs="Arial"/>
                <w:b/>
                <w:sz w:val="24"/>
                <w:szCs w:val="24"/>
              </w:rPr>
            </w:pPr>
          </w:p>
          <w:p w:rsidR="0019500B" w:rsidRDefault="0019500B" w:rsidP="00DC1190">
            <w:pPr>
              <w:contextualSpacing/>
              <w:jc w:val="both"/>
              <w:rPr>
                <w:rFonts w:cs="Arial"/>
                <w:b/>
                <w:sz w:val="24"/>
                <w:szCs w:val="24"/>
              </w:rPr>
            </w:pPr>
            <w:r w:rsidRPr="0019500B">
              <w:rPr>
                <w:rFonts w:cs="Arial"/>
                <w:b/>
                <w:sz w:val="24"/>
                <w:szCs w:val="24"/>
              </w:rPr>
              <w:t>Administration</w:t>
            </w:r>
          </w:p>
          <w:p w:rsidR="00EF66FB" w:rsidRDefault="00EF66FB" w:rsidP="00DC1190">
            <w:pPr>
              <w:contextualSpacing/>
              <w:jc w:val="both"/>
              <w:rPr>
                <w:rFonts w:cs="Arial"/>
                <w:sz w:val="24"/>
                <w:szCs w:val="24"/>
              </w:rPr>
            </w:pPr>
            <w:r>
              <w:rPr>
                <w:rFonts w:cs="Arial"/>
                <w:sz w:val="24"/>
                <w:szCs w:val="24"/>
              </w:rPr>
              <w:t xml:space="preserve">Patient observations should be stable prior to administration. </w:t>
            </w:r>
          </w:p>
          <w:p w:rsidR="00EF66FB" w:rsidRPr="009172A8" w:rsidRDefault="00EF66FB" w:rsidP="00DC1190">
            <w:pPr>
              <w:contextualSpacing/>
              <w:jc w:val="both"/>
              <w:rPr>
                <w:rFonts w:cs="Arial"/>
                <w:sz w:val="24"/>
                <w:szCs w:val="24"/>
              </w:rPr>
            </w:pPr>
            <w:r w:rsidRPr="00EF66FB">
              <w:rPr>
                <w:rFonts w:cs="Arial"/>
                <w:sz w:val="24"/>
                <w:szCs w:val="24"/>
              </w:rPr>
              <w:t>The patient should be afebrile and not acutely unwell</w:t>
            </w:r>
            <w:r>
              <w:rPr>
                <w:rFonts w:cs="Arial"/>
                <w:sz w:val="24"/>
                <w:szCs w:val="24"/>
              </w:rPr>
              <w:t>.</w:t>
            </w:r>
          </w:p>
          <w:p w:rsidR="001C793E" w:rsidRPr="009172A8" w:rsidRDefault="0019500B" w:rsidP="00DC1190">
            <w:pPr>
              <w:contextualSpacing/>
              <w:jc w:val="both"/>
              <w:rPr>
                <w:rFonts w:cs="Arial"/>
                <w:sz w:val="24"/>
                <w:szCs w:val="24"/>
              </w:rPr>
            </w:pPr>
            <w:r w:rsidRPr="009172A8">
              <w:rPr>
                <w:rFonts w:cs="Arial"/>
                <w:sz w:val="24"/>
                <w:szCs w:val="24"/>
              </w:rPr>
              <w:t xml:space="preserve">All patients should be closely monitored </w:t>
            </w:r>
            <w:r w:rsidR="00EF66FB">
              <w:rPr>
                <w:rFonts w:cs="Arial"/>
                <w:sz w:val="24"/>
                <w:szCs w:val="24"/>
              </w:rPr>
              <w:t xml:space="preserve">during the infusion </w:t>
            </w:r>
            <w:r w:rsidRPr="009172A8">
              <w:rPr>
                <w:rFonts w:cs="Arial"/>
                <w:sz w:val="24"/>
                <w:szCs w:val="24"/>
              </w:rPr>
              <w:t>for signs of hypersensitivity</w:t>
            </w:r>
            <w:r w:rsidR="006F4AA6" w:rsidRPr="009172A8">
              <w:rPr>
                <w:rFonts w:cs="Arial"/>
                <w:sz w:val="24"/>
                <w:szCs w:val="24"/>
              </w:rPr>
              <w:t xml:space="preserve"> and extravasation</w:t>
            </w:r>
            <w:r w:rsidRPr="009172A8">
              <w:rPr>
                <w:rFonts w:cs="Arial"/>
                <w:sz w:val="24"/>
                <w:szCs w:val="24"/>
              </w:rPr>
              <w:t xml:space="preserve"> during and for at least 30 minutes after every administration of Monofer</w:t>
            </w:r>
            <w:r w:rsidR="00C11824" w:rsidRPr="009172A8">
              <w:rPr>
                <w:rFonts w:cs="Arial"/>
                <w:sz w:val="24"/>
                <w:szCs w:val="24"/>
              </w:rPr>
              <w:t xml:space="preserve"> and observations taken as per page </w:t>
            </w:r>
            <w:r w:rsidR="00ED74B2">
              <w:rPr>
                <w:rFonts w:cs="Arial"/>
                <w:sz w:val="24"/>
                <w:szCs w:val="24"/>
              </w:rPr>
              <w:t>6</w:t>
            </w:r>
            <w:r w:rsidR="00C11824" w:rsidRPr="009172A8">
              <w:rPr>
                <w:rFonts w:cs="Arial"/>
                <w:sz w:val="24"/>
                <w:szCs w:val="24"/>
              </w:rPr>
              <w:t xml:space="preserve"> of this guideline</w:t>
            </w:r>
            <w:r w:rsidRPr="009172A8">
              <w:rPr>
                <w:rFonts w:cs="Arial"/>
                <w:sz w:val="24"/>
                <w:szCs w:val="24"/>
              </w:rPr>
              <w:t xml:space="preserve"> </w:t>
            </w:r>
          </w:p>
          <w:p w:rsidR="00C11824" w:rsidRPr="009172A8" w:rsidRDefault="00C11824" w:rsidP="00DC1190">
            <w:pPr>
              <w:contextualSpacing/>
              <w:jc w:val="both"/>
              <w:rPr>
                <w:rFonts w:cs="Arial"/>
                <w:sz w:val="24"/>
                <w:szCs w:val="24"/>
              </w:rPr>
            </w:pPr>
          </w:p>
          <w:p w:rsidR="00C11824" w:rsidRPr="009172A8" w:rsidRDefault="00C11824" w:rsidP="00DC1190">
            <w:pPr>
              <w:contextualSpacing/>
              <w:jc w:val="both"/>
              <w:rPr>
                <w:rFonts w:cs="Arial"/>
                <w:b/>
                <w:sz w:val="24"/>
                <w:szCs w:val="24"/>
              </w:rPr>
            </w:pPr>
            <w:r w:rsidRPr="009172A8">
              <w:rPr>
                <w:rFonts w:cs="Arial"/>
                <w:b/>
                <w:sz w:val="24"/>
                <w:szCs w:val="24"/>
              </w:rPr>
              <w:t>Follow up</w:t>
            </w:r>
          </w:p>
          <w:p w:rsidR="001C793E" w:rsidRPr="0016298C" w:rsidRDefault="00C11824" w:rsidP="00DC1190">
            <w:pPr>
              <w:contextualSpacing/>
              <w:jc w:val="both"/>
              <w:rPr>
                <w:rFonts w:cs="Arial"/>
                <w:sz w:val="24"/>
                <w:szCs w:val="24"/>
              </w:rPr>
            </w:pPr>
            <w:r w:rsidRPr="009172A8">
              <w:rPr>
                <w:rFonts w:cs="Arial"/>
                <w:sz w:val="24"/>
                <w:szCs w:val="24"/>
              </w:rPr>
              <w:t xml:space="preserve">GPs should repeat full blood count, ferritin and </w:t>
            </w:r>
            <w:r w:rsidR="003672BC" w:rsidRPr="009172A8">
              <w:rPr>
                <w:rFonts w:cs="Arial"/>
                <w:sz w:val="24"/>
                <w:szCs w:val="24"/>
              </w:rPr>
              <w:t>mean corpuscular volume (</w:t>
            </w:r>
            <w:r w:rsidRPr="009172A8">
              <w:rPr>
                <w:rFonts w:cs="Arial"/>
                <w:sz w:val="24"/>
                <w:szCs w:val="24"/>
              </w:rPr>
              <w:t>MCV</w:t>
            </w:r>
            <w:r w:rsidR="003672BC" w:rsidRPr="009172A8">
              <w:rPr>
                <w:rFonts w:cs="Arial"/>
                <w:sz w:val="24"/>
                <w:szCs w:val="24"/>
              </w:rPr>
              <w:t>)</w:t>
            </w:r>
            <w:r w:rsidRPr="009172A8">
              <w:rPr>
                <w:rFonts w:cs="Arial"/>
                <w:sz w:val="24"/>
                <w:szCs w:val="24"/>
              </w:rPr>
              <w:t xml:space="preserve"> </w:t>
            </w:r>
            <w:r w:rsidRPr="00224053">
              <w:rPr>
                <w:rFonts w:cs="Arial"/>
                <w:sz w:val="24"/>
                <w:szCs w:val="24"/>
              </w:rPr>
              <w:t xml:space="preserve">at </w:t>
            </w:r>
            <w:r w:rsidR="006C1FE6">
              <w:rPr>
                <w:rFonts w:cs="Arial"/>
                <w:sz w:val="24"/>
                <w:szCs w:val="24"/>
              </w:rPr>
              <w:t>6</w:t>
            </w:r>
            <w:r w:rsidRPr="00224053">
              <w:rPr>
                <w:rFonts w:cs="Arial"/>
                <w:sz w:val="24"/>
                <w:szCs w:val="24"/>
              </w:rPr>
              <w:t xml:space="preserve"> weeks</w:t>
            </w:r>
            <w:r w:rsidRPr="009172A8">
              <w:rPr>
                <w:rFonts w:cs="Arial"/>
                <w:sz w:val="24"/>
                <w:szCs w:val="24"/>
              </w:rPr>
              <w:t xml:space="preserve"> post transfusion to review the efficacy</w:t>
            </w:r>
            <w:r w:rsidRPr="0016298C">
              <w:rPr>
                <w:rFonts w:cs="Arial"/>
                <w:sz w:val="24"/>
                <w:szCs w:val="24"/>
              </w:rPr>
              <w:t xml:space="preserve"> of the iron transfusion.</w:t>
            </w:r>
          </w:p>
          <w:p w:rsidR="00C11824" w:rsidRPr="0016298C" w:rsidRDefault="00C11824" w:rsidP="00DC1190">
            <w:pPr>
              <w:contextualSpacing/>
              <w:jc w:val="both"/>
              <w:rPr>
                <w:rFonts w:cs="Arial"/>
                <w:sz w:val="24"/>
                <w:szCs w:val="24"/>
              </w:rPr>
            </w:pPr>
          </w:p>
          <w:p w:rsidR="00C11824" w:rsidRPr="0016298C" w:rsidRDefault="00C11824" w:rsidP="00DC1190">
            <w:pPr>
              <w:contextualSpacing/>
              <w:jc w:val="both"/>
              <w:rPr>
                <w:rFonts w:cs="Arial"/>
                <w:b/>
                <w:sz w:val="24"/>
                <w:szCs w:val="24"/>
              </w:rPr>
            </w:pPr>
            <w:r w:rsidRPr="0016298C">
              <w:rPr>
                <w:rFonts w:cs="Arial"/>
                <w:b/>
                <w:sz w:val="24"/>
                <w:szCs w:val="24"/>
              </w:rPr>
              <w:t>Audit</w:t>
            </w:r>
          </w:p>
          <w:p w:rsidR="001C793E" w:rsidRDefault="00EF66FB" w:rsidP="00EF66FB">
            <w:pPr>
              <w:contextualSpacing/>
              <w:jc w:val="both"/>
              <w:rPr>
                <w:rFonts w:cs="Arial"/>
                <w:sz w:val="24"/>
                <w:szCs w:val="24"/>
              </w:rPr>
            </w:pPr>
            <w:r>
              <w:rPr>
                <w:rFonts w:cs="Arial"/>
                <w:sz w:val="24"/>
                <w:szCs w:val="24"/>
              </w:rPr>
              <w:t>A</w:t>
            </w:r>
            <w:r w:rsidR="00C11824" w:rsidRPr="0016298C">
              <w:rPr>
                <w:rFonts w:cs="Arial"/>
                <w:sz w:val="24"/>
                <w:szCs w:val="24"/>
              </w:rPr>
              <w:t xml:space="preserve">ctivity of iron transfusions in Community </w:t>
            </w:r>
            <w:r w:rsidR="0016298C" w:rsidRPr="0016298C">
              <w:rPr>
                <w:rFonts w:cs="Arial"/>
                <w:sz w:val="24"/>
                <w:szCs w:val="24"/>
              </w:rPr>
              <w:t>Hospitals</w:t>
            </w:r>
            <w:r>
              <w:rPr>
                <w:rFonts w:cs="Arial"/>
                <w:sz w:val="24"/>
                <w:szCs w:val="24"/>
              </w:rPr>
              <w:t xml:space="preserve"> will be audited annually</w:t>
            </w:r>
            <w:r w:rsidR="0016298C" w:rsidRPr="0016298C">
              <w:rPr>
                <w:rFonts w:cs="Arial"/>
                <w:sz w:val="24"/>
                <w:szCs w:val="24"/>
              </w:rPr>
              <w:t>.</w:t>
            </w:r>
          </w:p>
          <w:p w:rsidR="00722335" w:rsidRPr="00D822CC" w:rsidRDefault="00722335" w:rsidP="00EF66FB">
            <w:pPr>
              <w:contextualSpacing/>
              <w:jc w:val="both"/>
              <w:rPr>
                <w:rFonts w:cs="Arial"/>
              </w:rPr>
            </w:pPr>
          </w:p>
        </w:tc>
      </w:tr>
    </w:tbl>
    <w:p w:rsidR="00D822CC" w:rsidRPr="00D822CC" w:rsidRDefault="00D822CC" w:rsidP="00D822CC">
      <w:pPr>
        <w:rPr>
          <w:rFonts w:cs="Arial"/>
        </w:rPr>
      </w:pPr>
    </w:p>
    <w:p w:rsidR="00D822CC" w:rsidRDefault="00D822CC" w:rsidP="00D822CC">
      <w:pPr>
        <w:keepNext/>
        <w:keepLines/>
        <w:spacing w:before="140" w:line="240" w:lineRule="auto"/>
        <w:jc w:val="center"/>
        <w:rPr>
          <w:rFonts w:eastAsiaTheme="majorEastAsia" w:cs="Arial"/>
          <w:b/>
          <w:bCs/>
          <w:sz w:val="32"/>
          <w:szCs w:val="28"/>
          <w:lang w:val="en-US" w:eastAsia="ja-JP"/>
        </w:rPr>
      </w:pPr>
      <w:r w:rsidRPr="00D822CC">
        <w:rPr>
          <w:rFonts w:eastAsiaTheme="majorEastAsia" w:cs="Arial"/>
          <w:b/>
          <w:bCs/>
          <w:sz w:val="32"/>
          <w:szCs w:val="28"/>
          <w:lang w:val="en-US" w:eastAsia="ja-JP"/>
        </w:rPr>
        <w:t>CONTENTS</w:t>
      </w:r>
    </w:p>
    <w:tbl>
      <w:tblPr>
        <w:tblStyle w:val="TableGrid"/>
        <w:tblW w:w="0" w:type="auto"/>
        <w:tblLook w:val="04A0" w:firstRow="1" w:lastRow="0" w:firstColumn="1" w:lastColumn="0" w:noHBand="0" w:noVBand="1"/>
      </w:tblPr>
      <w:tblGrid>
        <w:gridCol w:w="1661"/>
        <w:gridCol w:w="7689"/>
        <w:gridCol w:w="483"/>
      </w:tblGrid>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1.</w:t>
            </w:r>
          </w:p>
        </w:tc>
        <w:tc>
          <w:tcPr>
            <w:tcW w:w="7796"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INTRODUCTION / BACKGROUND</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3</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2.</w:t>
            </w:r>
          </w:p>
        </w:tc>
        <w:tc>
          <w:tcPr>
            <w:tcW w:w="7796"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MAIN BODY OF GUIDELINE</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4</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3.</w:t>
            </w:r>
          </w:p>
        </w:tc>
        <w:tc>
          <w:tcPr>
            <w:tcW w:w="7796"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MONITORING COMPLIANCE WITH THIS GUIDELINE</w:t>
            </w:r>
          </w:p>
        </w:tc>
        <w:tc>
          <w:tcPr>
            <w:tcW w:w="369" w:type="dxa"/>
          </w:tcPr>
          <w:p w:rsidR="00722335" w:rsidRPr="000F1298" w:rsidRDefault="00532C28" w:rsidP="00532C28">
            <w:pPr>
              <w:keepNext/>
              <w:keepLines/>
              <w:spacing w:before="140"/>
              <w:jc w:val="right"/>
              <w:rPr>
                <w:rFonts w:eastAsiaTheme="majorEastAsia" w:cs="Arial"/>
                <w:b/>
                <w:bCs/>
                <w:sz w:val="24"/>
                <w:szCs w:val="24"/>
                <w:lang w:val="en-US" w:eastAsia="ja-JP"/>
              </w:rPr>
            </w:pPr>
            <w:r>
              <w:rPr>
                <w:rFonts w:eastAsiaTheme="majorEastAsia" w:cs="Arial"/>
                <w:b/>
                <w:bCs/>
                <w:sz w:val="24"/>
                <w:szCs w:val="24"/>
                <w:lang w:val="en-US" w:eastAsia="ja-JP"/>
              </w:rPr>
              <w:t>6</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4.</w:t>
            </w:r>
          </w:p>
        </w:tc>
        <w:tc>
          <w:tcPr>
            <w:tcW w:w="7796"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ASSOCIATED CLINICAL GUIDELINES/ POLICIES/ PROCEDURES</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7</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5.</w:t>
            </w:r>
          </w:p>
        </w:tc>
        <w:tc>
          <w:tcPr>
            <w:tcW w:w="7796"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PUBLICATION DETAILS</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7</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 xml:space="preserve">Appendix 1 </w:t>
            </w:r>
          </w:p>
        </w:tc>
        <w:tc>
          <w:tcPr>
            <w:tcW w:w="7796" w:type="dxa"/>
          </w:tcPr>
          <w:p w:rsidR="00722335" w:rsidRPr="000F1298" w:rsidRDefault="000F1298"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Monofer dose calculator</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8</w:t>
            </w:r>
          </w:p>
        </w:tc>
      </w:tr>
      <w:tr w:rsidR="00722335" w:rsidRPr="000F1298" w:rsidTr="000F1298">
        <w:tc>
          <w:tcPr>
            <w:tcW w:w="1668" w:type="dxa"/>
          </w:tcPr>
          <w:p w:rsidR="00722335" w:rsidRPr="000F1298" w:rsidRDefault="00722335"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 xml:space="preserve">Appendix 2. </w:t>
            </w:r>
          </w:p>
        </w:tc>
        <w:tc>
          <w:tcPr>
            <w:tcW w:w="7796" w:type="dxa"/>
          </w:tcPr>
          <w:p w:rsidR="00722335" w:rsidRPr="000F1298" w:rsidRDefault="000F1298"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Patient Information Leaflet</w:t>
            </w:r>
          </w:p>
        </w:tc>
        <w:tc>
          <w:tcPr>
            <w:tcW w:w="369" w:type="dxa"/>
          </w:tcPr>
          <w:p w:rsidR="00722335" w:rsidRPr="000F1298" w:rsidRDefault="000F1298" w:rsidP="000F1298">
            <w:pPr>
              <w:keepNext/>
              <w:keepLines/>
              <w:spacing w:before="140"/>
              <w:jc w:val="right"/>
              <w:rPr>
                <w:rFonts w:eastAsiaTheme="majorEastAsia" w:cs="Arial"/>
                <w:b/>
                <w:bCs/>
                <w:sz w:val="24"/>
                <w:szCs w:val="24"/>
                <w:lang w:val="en-US" w:eastAsia="ja-JP"/>
              </w:rPr>
            </w:pPr>
            <w:r w:rsidRPr="000F1298">
              <w:rPr>
                <w:rFonts w:eastAsiaTheme="majorEastAsia" w:cs="Arial"/>
                <w:b/>
                <w:bCs/>
                <w:sz w:val="24"/>
                <w:szCs w:val="24"/>
                <w:lang w:val="en-US" w:eastAsia="ja-JP"/>
              </w:rPr>
              <w:t>9</w:t>
            </w:r>
          </w:p>
        </w:tc>
      </w:tr>
      <w:tr w:rsidR="000F1298" w:rsidRPr="000F1298" w:rsidTr="000F1298">
        <w:tc>
          <w:tcPr>
            <w:tcW w:w="1668" w:type="dxa"/>
          </w:tcPr>
          <w:p w:rsidR="000F1298" w:rsidRPr="000F1298" w:rsidRDefault="000F1298" w:rsidP="000F1298">
            <w:pPr>
              <w:keepNext/>
              <w:keepLines/>
              <w:spacing w:before="140"/>
              <w:rPr>
                <w:rFonts w:eastAsiaTheme="majorEastAsia" w:cs="Arial"/>
                <w:b/>
                <w:bCs/>
                <w:sz w:val="24"/>
                <w:szCs w:val="24"/>
                <w:lang w:val="en-US" w:eastAsia="ja-JP"/>
              </w:rPr>
            </w:pPr>
            <w:r w:rsidRPr="000F1298">
              <w:rPr>
                <w:rFonts w:eastAsiaTheme="majorEastAsia" w:cs="Arial"/>
                <w:b/>
                <w:bCs/>
                <w:sz w:val="24"/>
                <w:szCs w:val="24"/>
                <w:lang w:val="en-US" w:eastAsia="ja-JP"/>
              </w:rPr>
              <w:t xml:space="preserve">Appendix </w:t>
            </w:r>
            <w:r>
              <w:rPr>
                <w:rFonts w:eastAsiaTheme="majorEastAsia" w:cs="Arial"/>
                <w:b/>
                <w:bCs/>
                <w:sz w:val="24"/>
                <w:szCs w:val="24"/>
                <w:lang w:val="en-US" w:eastAsia="ja-JP"/>
              </w:rPr>
              <w:t>3.</w:t>
            </w:r>
          </w:p>
        </w:tc>
        <w:tc>
          <w:tcPr>
            <w:tcW w:w="7796" w:type="dxa"/>
          </w:tcPr>
          <w:p w:rsidR="000F1298" w:rsidRPr="000F1298" w:rsidRDefault="000F1298" w:rsidP="000F1298">
            <w:pPr>
              <w:keepNext/>
              <w:keepLines/>
              <w:spacing w:before="140"/>
              <w:rPr>
                <w:rFonts w:eastAsiaTheme="majorEastAsia" w:cs="Arial"/>
                <w:b/>
                <w:bCs/>
                <w:sz w:val="24"/>
                <w:szCs w:val="24"/>
                <w:lang w:val="en-US" w:eastAsia="ja-JP"/>
              </w:rPr>
            </w:pPr>
            <w:r>
              <w:rPr>
                <w:rFonts w:eastAsiaTheme="majorEastAsia" w:cs="Arial"/>
                <w:b/>
                <w:bCs/>
                <w:sz w:val="24"/>
                <w:szCs w:val="24"/>
                <w:lang w:val="en-US" w:eastAsia="ja-JP"/>
              </w:rPr>
              <w:t>Anaphylaxis Algorithm</w:t>
            </w:r>
          </w:p>
        </w:tc>
        <w:tc>
          <w:tcPr>
            <w:tcW w:w="369" w:type="dxa"/>
          </w:tcPr>
          <w:p w:rsidR="000F1298" w:rsidRPr="000F1298" w:rsidRDefault="000F1298" w:rsidP="000F1298">
            <w:pPr>
              <w:keepNext/>
              <w:keepLines/>
              <w:spacing w:before="140"/>
              <w:jc w:val="right"/>
              <w:rPr>
                <w:rFonts w:eastAsiaTheme="majorEastAsia" w:cs="Arial"/>
                <w:b/>
                <w:bCs/>
                <w:sz w:val="24"/>
                <w:szCs w:val="24"/>
                <w:lang w:val="en-US" w:eastAsia="ja-JP"/>
              </w:rPr>
            </w:pPr>
            <w:r>
              <w:rPr>
                <w:rFonts w:eastAsiaTheme="majorEastAsia" w:cs="Arial"/>
                <w:b/>
                <w:bCs/>
                <w:sz w:val="24"/>
                <w:szCs w:val="24"/>
                <w:lang w:val="en-US" w:eastAsia="ja-JP"/>
              </w:rPr>
              <w:t>11</w:t>
            </w:r>
          </w:p>
        </w:tc>
      </w:tr>
    </w:tbl>
    <w:p w:rsidR="00722335" w:rsidRPr="000F1298" w:rsidRDefault="00722335" w:rsidP="00D822CC">
      <w:pPr>
        <w:keepNext/>
        <w:keepLines/>
        <w:spacing w:before="140" w:line="240" w:lineRule="auto"/>
        <w:jc w:val="center"/>
        <w:rPr>
          <w:rFonts w:eastAsiaTheme="majorEastAsia" w:cs="Arial"/>
          <w:b/>
          <w:bCs/>
          <w:sz w:val="24"/>
          <w:szCs w:val="24"/>
          <w:lang w:val="en-US" w:eastAsia="ja-JP"/>
        </w:rPr>
      </w:pPr>
    </w:p>
    <w:p w:rsidR="00280FC4" w:rsidRDefault="00280FC4" w:rsidP="00D822CC">
      <w:pPr>
        <w:rPr>
          <w:rFonts w:cs="Arial"/>
        </w:rPr>
      </w:pPr>
    </w:p>
    <w:p w:rsidR="00280FC4" w:rsidRDefault="00280FC4"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0F1298" w:rsidRDefault="000F1298" w:rsidP="00D822CC">
      <w:pPr>
        <w:rPr>
          <w:rFonts w:cs="Arial"/>
        </w:rPr>
      </w:pPr>
    </w:p>
    <w:p w:rsidR="00280FC4" w:rsidRDefault="00280FC4" w:rsidP="00D822CC">
      <w:pPr>
        <w:rPr>
          <w:rFonts w:cs="Arial"/>
        </w:rPr>
      </w:pPr>
    </w:p>
    <w:p w:rsidR="00D822CC" w:rsidRPr="00D822CC" w:rsidRDefault="00D822CC" w:rsidP="00D822CC">
      <w:pPr>
        <w:rPr>
          <w:rFonts w:cs="Arial"/>
        </w:rPr>
        <w:sectPr w:rsidR="00D822CC" w:rsidRPr="00D822CC" w:rsidSect="0072233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849" w:bottom="1440" w:left="1440" w:header="708" w:footer="708" w:gutter="0"/>
          <w:cols w:space="708"/>
          <w:docGrid w:linePitch="360"/>
        </w:sectPr>
      </w:pPr>
    </w:p>
    <w:p w:rsidR="00D822CC" w:rsidRPr="00415889" w:rsidRDefault="00D822CC" w:rsidP="004B14C6">
      <w:pPr>
        <w:pStyle w:val="Heading1"/>
        <w:rPr>
          <w:sz w:val="24"/>
          <w:szCs w:val="24"/>
        </w:rPr>
      </w:pPr>
      <w:bookmarkStart w:id="1" w:name="_Toc317778026"/>
      <w:r w:rsidRPr="00415889">
        <w:rPr>
          <w:sz w:val="24"/>
          <w:szCs w:val="24"/>
        </w:rPr>
        <w:lastRenderedPageBreak/>
        <w:t>1.</w:t>
      </w:r>
      <w:r w:rsidRPr="00415889">
        <w:rPr>
          <w:sz w:val="24"/>
          <w:szCs w:val="24"/>
        </w:rPr>
        <w:tab/>
        <w:t>INTRODUCTION</w:t>
      </w:r>
      <w:bookmarkEnd w:id="1"/>
      <w:r w:rsidR="005017F9">
        <w:rPr>
          <w:sz w:val="24"/>
          <w:szCs w:val="24"/>
        </w:rPr>
        <w:t xml:space="preserve"> /</w:t>
      </w:r>
      <w:r w:rsidRPr="00415889">
        <w:rPr>
          <w:sz w:val="24"/>
          <w:szCs w:val="24"/>
        </w:rPr>
        <w:t xml:space="preserve"> </w:t>
      </w:r>
      <w:r w:rsidR="005017F9">
        <w:rPr>
          <w:sz w:val="24"/>
          <w:szCs w:val="24"/>
        </w:rPr>
        <w:t>BACKGOUND</w:t>
      </w:r>
    </w:p>
    <w:p w:rsidR="004B14C6" w:rsidRDefault="005017F9" w:rsidP="004247F5">
      <w:pPr>
        <w:jc w:val="both"/>
        <w:rPr>
          <w:sz w:val="24"/>
          <w:szCs w:val="24"/>
        </w:rPr>
      </w:pPr>
      <w:r>
        <w:rPr>
          <w:sz w:val="24"/>
          <w:szCs w:val="24"/>
        </w:rPr>
        <w:t xml:space="preserve">Anaemia occurs when red blood cells (RBC) production is decreased, RBC destruction is accelerated, or RBCs are lost due to bleeding. The most common type of anaemia is Iron Deficiency Anaemia, with a prevalence of 2-5% in adult men and post-menopausal women. </w:t>
      </w:r>
    </w:p>
    <w:p w:rsidR="004247F5" w:rsidRDefault="004247F5" w:rsidP="004247F5">
      <w:pPr>
        <w:jc w:val="both"/>
        <w:rPr>
          <w:sz w:val="24"/>
          <w:szCs w:val="24"/>
        </w:rPr>
      </w:pPr>
    </w:p>
    <w:p w:rsidR="004247F5" w:rsidRDefault="004247F5" w:rsidP="004247F5">
      <w:pPr>
        <w:jc w:val="both"/>
        <w:rPr>
          <w:sz w:val="24"/>
          <w:szCs w:val="24"/>
        </w:rPr>
      </w:pPr>
      <w:r w:rsidRPr="004247F5">
        <w:rPr>
          <w:sz w:val="24"/>
          <w:szCs w:val="24"/>
        </w:rPr>
        <w:t>Parenteral Iron is indicated for patients with Iron deficiency anaemia when oral Iron therapy is unsuccessful or not tolerated</w:t>
      </w:r>
      <w:r w:rsidR="00256FD3">
        <w:rPr>
          <w:sz w:val="24"/>
          <w:szCs w:val="24"/>
        </w:rPr>
        <w:t>.</w:t>
      </w:r>
    </w:p>
    <w:p w:rsidR="00676B5A" w:rsidRDefault="00676B5A" w:rsidP="004247F5">
      <w:pPr>
        <w:jc w:val="both"/>
        <w:rPr>
          <w:sz w:val="24"/>
          <w:szCs w:val="24"/>
        </w:rPr>
      </w:pPr>
    </w:p>
    <w:p w:rsidR="00676B5A" w:rsidRPr="00676B5A" w:rsidRDefault="00676B5A" w:rsidP="00676B5A">
      <w:pPr>
        <w:jc w:val="both"/>
        <w:rPr>
          <w:sz w:val="24"/>
          <w:szCs w:val="24"/>
        </w:rPr>
      </w:pPr>
      <w:r w:rsidRPr="00676B5A">
        <w:rPr>
          <w:sz w:val="24"/>
          <w:szCs w:val="24"/>
        </w:rPr>
        <w:t xml:space="preserve">Patients with </w:t>
      </w:r>
      <w:r>
        <w:rPr>
          <w:sz w:val="24"/>
          <w:szCs w:val="24"/>
        </w:rPr>
        <w:t>I</w:t>
      </w:r>
      <w:r w:rsidRPr="00676B5A">
        <w:rPr>
          <w:sz w:val="24"/>
          <w:szCs w:val="24"/>
        </w:rPr>
        <w:t xml:space="preserve">ron </w:t>
      </w:r>
      <w:r>
        <w:rPr>
          <w:sz w:val="24"/>
          <w:szCs w:val="24"/>
        </w:rPr>
        <w:t>D</w:t>
      </w:r>
      <w:r w:rsidRPr="00676B5A">
        <w:rPr>
          <w:sz w:val="24"/>
          <w:szCs w:val="24"/>
        </w:rPr>
        <w:t xml:space="preserve">eficient </w:t>
      </w:r>
      <w:r>
        <w:rPr>
          <w:sz w:val="24"/>
          <w:szCs w:val="24"/>
        </w:rPr>
        <w:t>A</w:t>
      </w:r>
      <w:r w:rsidRPr="00676B5A">
        <w:rPr>
          <w:sz w:val="24"/>
          <w:szCs w:val="24"/>
        </w:rPr>
        <w:t>naemia and a functioning bone marrow need iron rather than blood. An average infusion of intravenous iron is 1gram of iron; this is equivalent to the amount of iron in 4 units of packed red cells</w:t>
      </w:r>
    </w:p>
    <w:p w:rsidR="00676B5A" w:rsidRPr="00676B5A" w:rsidRDefault="00676B5A" w:rsidP="00676B5A">
      <w:pPr>
        <w:jc w:val="both"/>
        <w:rPr>
          <w:sz w:val="24"/>
          <w:szCs w:val="24"/>
        </w:rPr>
      </w:pPr>
    </w:p>
    <w:p w:rsidR="00676B5A" w:rsidRPr="00676B5A" w:rsidRDefault="00676B5A" w:rsidP="00676B5A">
      <w:pPr>
        <w:jc w:val="both"/>
        <w:rPr>
          <w:sz w:val="24"/>
          <w:szCs w:val="24"/>
        </w:rPr>
      </w:pPr>
      <w:r w:rsidRPr="00676B5A">
        <w:rPr>
          <w:sz w:val="24"/>
          <w:szCs w:val="24"/>
        </w:rPr>
        <w:t xml:space="preserve">The first treatment choice is to use oral iron but intravenous iron should be considered for patients:  </w:t>
      </w:r>
    </w:p>
    <w:p w:rsidR="00676B5A" w:rsidRPr="00676B5A" w:rsidRDefault="00676B5A" w:rsidP="00676B5A">
      <w:pPr>
        <w:jc w:val="both"/>
        <w:rPr>
          <w:sz w:val="24"/>
          <w:szCs w:val="24"/>
        </w:rPr>
      </w:pPr>
    </w:p>
    <w:p w:rsidR="00676B5A" w:rsidRPr="00676B5A" w:rsidRDefault="00676B5A" w:rsidP="00676B5A">
      <w:pPr>
        <w:jc w:val="both"/>
        <w:rPr>
          <w:sz w:val="24"/>
          <w:szCs w:val="24"/>
        </w:rPr>
      </w:pPr>
      <w:r w:rsidRPr="00676B5A">
        <w:rPr>
          <w:sz w:val="24"/>
          <w:szCs w:val="24"/>
        </w:rPr>
        <w:t xml:space="preserve">Who cannot tolerate or are unable to take oral iron </w:t>
      </w:r>
    </w:p>
    <w:p w:rsidR="00676B5A" w:rsidRPr="00676B5A" w:rsidRDefault="00676B5A" w:rsidP="00676B5A">
      <w:pPr>
        <w:pStyle w:val="ListParagraph"/>
        <w:numPr>
          <w:ilvl w:val="0"/>
          <w:numId w:val="17"/>
        </w:numPr>
        <w:jc w:val="both"/>
        <w:rPr>
          <w:rFonts w:ascii="Arial" w:hAnsi="Arial" w:cs="Arial"/>
        </w:rPr>
      </w:pPr>
      <w:r w:rsidRPr="00676B5A">
        <w:rPr>
          <w:rFonts w:ascii="Arial" w:hAnsi="Arial" w:cs="Arial"/>
        </w:rPr>
        <w:t xml:space="preserve">For whom oral iron has been ineffective </w:t>
      </w:r>
    </w:p>
    <w:p w:rsidR="00676B5A" w:rsidRPr="00676B5A" w:rsidRDefault="00676B5A" w:rsidP="00676B5A">
      <w:pPr>
        <w:pStyle w:val="ListParagraph"/>
        <w:numPr>
          <w:ilvl w:val="0"/>
          <w:numId w:val="17"/>
        </w:numPr>
        <w:jc w:val="both"/>
        <w:rPr>
          <w:rFonts w:ascii="Arial" w:hAnsi="Arial" w:cs="Arial"/>
        </w:rPr>
      </w:pPr>
      <w:r w:rsidRPr="00676B5A">
        <w:rPr>
          <w:rFonts w:ascii="Arial" w:hAnsi="Arial" w:cs="Arial"/>
        </w:rPr>
        <w:t xml:space="preserve">In whom oral iron is likely to be ineffective e.g.in patients with chronic renal disease or anaemia due to chronic disease or inflammation. </w:t>
      </w:r>
    </w:p>
    <w:p w:rsidR="00676B5A" w:rsidRPr="00676B5A" w:rsidRDefault="00676B5A" w:rsidP="00676B5A">
      <w:pPr>
        <w:pStyle w:val="ListParagraph"/>
        <w:numPr>
          <w:ilvl w:val="0"/>
          <w:numId w:val="17"/>
        </w:numPr>
        <w:jc w:val="both"/>
        <w:rPr>
          <w:rFonts w:ascii="Arial" w:hAnsi="Arial" w:cs="Arial"/>
        </w:rPr>
      </w:pPr>
      <w:r w:rsidRPr="00676B5A">
        <w:rPr>
          <w:rFonts w:ascii="Arial" w:hAnsi="Arial" w:cs="Arial"/>
        </w:rPr>
        <w:t xml:space="preserve">Where there is not sufficient time for oral iron to work, eg pre operatively </w:t>
      </w:r>
    </w:p>
    <w:p w:rsidR="00676B5A" w:rsidRPr="00676B5A" w:rsidRDefault="00676B5A" w:rsidP="00676B5A">
      <w:pPr>
        <w:jc w:val="both"/>
        <w:rPr>
          <w:rFonts w:cs="Arial"/>
          <w:sz w:val="24"/>
          <w:szCs w:val="24"/>
        </w:rPr>
      </w:pPr>
    </w:p>
    <w:p w:rsidR="00676B5A" w:rsidRPr="00676B5A" w:rsidRDefault="00676B5A" w:rsidP="00676B5A">
      <w:pPr>
        <w:jc w:val="both"/>
        <w:rPr>
          <w:sz w:val="24"/>
          <w:szCs w:val="24"/>
        </w:rPr>
      </w:pPr>
      <w:r w:rsidRPr="00676B5A">
        <w:rPr>
          <w:sz w:val="24"/>
          <w:szCs w:val="24"/>
        </w:rPr>
        <w:t xml:space="preserve">Intravenous iron will improve the haemoglobin in iron deficient patients in 7 to 14 days. Blood transfusion may be needed to relieve symptoms of anaemia such as angina, intermittent claudication, shortness of breath that </w:t>
      </w:r>
      <w:r w:rsidR="00025473">
        <w:rPr>
          <w:sz w:val="24"/>
          <w:szCs w:val="24"/>
        </w:rPr>
        <w:t>require</w:t>
      </w:r>
      <w:r w:rsidRPr="00676B5A">
        <w:rPr>
          <w:sz w:val="24"/>
          <w:szCs w:val="24"/>
        </w:rPr>
        <w:t xml:space="preserve"> correcting quickly. In these patients often a single unit of blood can overcome the acute symptoms and this can be backed up by an iron infusion at the same time.  </w:t>
      </w:r>
    </w:p>
    <w:p w:rsidR="00676B5A" w:rsidRDefault="00676B5A" w:rsidP="004247F5">
      <w:pPr>
        <w:jc w:val="both"/>
        <w:rPr>
          <w:sz w:val="24"/>
          <w:szCs w:val="24"/>
        </w:rPr>
      </w:pPr>
    </w:p>
    <w:p w:rsidR="004247F5" w:rsidRDefault="004247F5" w:rsidP="004247F5">
      <w:pPr>
        <w:jc w:val="both"/>
        <w:rPr>
          <w:sz w:val="24"/>
          <w:szCs w:val="24"/>
        </w:rPr>
      </w:pPr>
      <w:r w:rsidRPr="004247F5">
        <w:rPr>
          <w:sz w:val="24"/>
          <w:szCs w:val="24"/>
        </w:rPr>
        <w:t xml:space="preserve">Parenteral </w:t>
      </w:r>
      <w:r>
        <w:rPr>
          <w:sz w:val="24"/>
          <w:szCs w:val="24"/>
        </w:rPr>
        <w:t>i</w:t>
      </w:r>
      <w:r w:rsidR="005017F9">
        <w:rPr>
          <w:sz w:val="24"/>
          <w:szCs w:val="24"/>
        </w:rPr>
        <w:t xml:space="preserve">ron </w:t>
      </w:r>
      <w:r>
        <w:rPr>
          <w:sz w:val="24"/>
          <w:szCs w:val="24"/>
        </w:rPr>
        <w:t>infusions</w:t>
      </w:r>
      <w:r w:rsidR="005017F9">
        <w:rPr>
          <w:sz w:val="24"/>
          <w:szCs w:val="24"/>
        </w:rPr>
        <w:t xml:space="preserve"> can be administered </w:t>
      </w:r>
      <w:r w:rsidR="00676B5A">
        <w:rPr>
          <w:sz w:val="24"/>
          <w:szCs w:val="24"/>
        </w:rPr>
        <w:t xml:space="preserve">for ambulatory patients </w:t>
      </w:r>
      <w:r w:rsidR="005017F9">
        <w:rPr>
          <w:sz w:val="24"/>
          <w:szCs w:val="24"/>
        </w:rPr>
        <w:t xml:space="preserve">in </w:t>
      </w:r>
      <w:r w:rsidR="00676B5A">
        <w:rPr>
          <w:sz w:val="24"/>
          <w:szCs w:val="24"/>
        </w:rPr>
        <w:t xml:space="preserve">Tiverton or Sidmouth </w:t>
      </w:r>
      <w:r w:rsidR="005017F9">
        <w:rPr>
          <w:sz w:val="24"/>
          <w:szCs w:val="24"/>
        </w:rPr>
        <w:t>Community Hospitals</w:t>
      </w:r>
      <w:r w:rsidR="00676B5A">
        <w:rPr>
          <w:sz w:val="24"/>
          <w:szCs w:val="24"/>
        </w:rPr>
        <w:t xml:space="preserve">. These Community Hospitals </w:t>
      </w:r>
      <w:r w:rsidR="005017F9">
        <w:rPr>
          <w:sz w:val="24"/>
          <w:szCs w:val="24"/>
        </w:rPr>
        <w:t xml:space="preserve">have been risk assessed and </w:t>
      </w:r>
      <w:r>
        <w:rPr>
          <w:sz w:val="24"/>
          <w:szCs w:val="24"/>
        </w:rPr>
        <w:t>have facilities</w:t>
      </w:r>
      <w:r w:rsidR="005017F9">
        <w:rPr>
          <w:sz w:val="24"/>
          <w:szCs w:val="24"/>
        </w:rPr>
        <w:t xml:space="preserve"> for the management of </w:t>
      </w:r>
      <w:r>
        <w:rPr>
          <w:sz w:val="24"/>
          <w:szCs w:val="24"/>
        </w:rPr>
        <w:t>anaphylaxis</w:t>
      </w:r>
      <w:r w:rsidR="005017F9">
        <w:rPr>
          <w:sz w:val="24"/>
          <w:szCs w:val="24"/>
        </w:rPr>
        <w:t xml:space="preserve"> and </w:t>
      </w:r>
      <w:r>
        <w:rPr>
          <w:sz w:val="24"/>
          <w:szCs w:val="24"/>
        </w:rPr>
        <w:t>c</w:t>
      </w:r>
      <w:r w:rsidR="005017F9" w:rsidRPr="005017F9">
        <w:rPr>
          <w:sz w:val="24"/>
          <w:szCs w:val="24"/>
        </w:rPr>
        <w:t>ardiopulmonary resuscitation</w:t>
      </w:r>
      <w:r w:rsidRPr="004247F5">
        <w:t xml:space="preserve"> </w:t>
      </w:r>
      <w:r w:rsidRPr="004247F5">
        <w:rPr>
          <w:sz w:val="24"/>
          <w:szCs w:val="24"/>
        </w:rPr>
        <w:t>and have staff competent to administer</w:t>
      </w:r>
      <w:r w:rsidR="00446919">
        <w:rPr>
          <w:sz w:val="24"/>
          <w:szCs w:val="24"/>
        </w:rPr>
        <w:t xml:space="preserve"> intravenous </w:t>
      </w:r>
      <w:r w:rsidR="004202FB">
        <w:rPr>
          <w:sz w:val="24"/>
          <w:szCs w:val="24"/>
        </w:rPr>
        <w:t>infusions and</w:t>
      </w:r>
      <w:r>
        <w:rPr>
          <w:sz w:val="24"/>
          <w:szCs w:val="24"/>
        </w:rPr>
        <w:t xml:space="preserve"> manage emergency situations.</w:t>
      </w:r>
    </w:p>
    <w:p w:rsidR="00256FD3" w:rsidRDefault="00256FD3" w:rsidP="004247F5">
      <w:pPr>
        <w:jc w:val="both"/>
        <w:rPr>
          <w:sz w:val="24"/>
          <w:szCs w:val="24"/>
        </w:rPr>
      </w:pPr>
    </w:p>
    <w:p w:rsidR="00025473" w:rsidRDefault="00025473" w:rsidP="004247F5">
      <w:pPr>
        <w:jc w:val="both"/>
        <w:rPr>
          <w:rFonts w:cs="Arial"/>
          <w:sz w:val="24"/>
          <w:szCs w:val="24"/>
        </w:rPr>
      </w:pPr>
      <w:r w:rsidRPr="00025473">
        <w:rPr>
          <w:rFonts w:cs="Arial"/>
          <w:sz w:val="24"/>
          <w:szCs w:val="24"/>
        </w:rPr>
        <w:t>As per these guidelines intravenous iron is only to be administered as an infusion and not as an intravenous bolus injection.</w:t>
      </w:r>
    </w:p>
    <w:p w:rsidR="00D639EC" w:rsidRDefault="00D639EC" w:rsidP="004B14C6">
      <w:pPr>
        <w:pStyle w:val="Heading1"/>
        <w:rPr>
          <w:sz w:val="24"/>
          <w:szCs w:val="24"/>
        </w:rPr>
      </w:pPr>
      <w:bookmarkStart w:id="2" w:name="_Toc317778029"/>
    </w:p>
    <w:p w:rsidR="000F1298" w:rsidRDefault="000F1298" w:rsidP="000F1298"/>
    <w:p w:rsidR="000F1298" w:rsidRDefault="000F1298" w:rsidP="000F1298"/>
    <w:p w:rsidR="000F1298" w:rsidRDefault="000F1298" w:rsidP="000F1298"/>
    <w:p w:rsidR="000F1298" w:rsidRDefault="000F1298" w:rsidP="000F1298"/>
    <w:p w:rsidR="000F1298" w:rsidRDefault="000F1298" w:rsidP="000F1298"/>
    <w:p w:rsidR="000F1298" w:rsidRPr="000F1298" w:rsidRDefault="000F1298" w:rsidP="000F1298"/>
    <w:p w:rsidR="00D822CC" w:rsidRDefault="004247F5" w:rsidP="004B14C6">
      <w:pPr>
        <w:pStyle w:val="Heading1"/>
        <w:rPr>
          <w:sz w:val="24"/>
          <w:szCs w:val="24"/>
        </w:rPr>
      </w:pPr>
      <w:r>
        <w:rPr>
          <w:sz w:val="24"/>
          <w:szCs w:val="24"/>
        </w:rPr>
        <w:lastRenderedPageBreak/>
        <w:t>2</w:t>
      </w:r>
      <w:r w:rsidR="00D822CC" w:rsidRPr="00415889">
        <w:rPr>
          <w:sz w:val="24"/>
          <w:szCs w:val="24"/>
        </w:rPr>
        <w:t>.</w:t>
      </w:r>
      <w:r w:rsidR="00D822CC" w:rsidRPr="00415889">
        <w:rPr>
          <w:sz w:val="24"/>
          <w:szCs w:val="24"/>
        </w:rPr>
        <w:tab/>
        <w:t>MAIN BODY OF GUIDELINE</w:t>
      </w:r>
      <w:bookmarkEnd w:id="2"/>
      <w:r w:rsidR="00D822CC" w:rsidRPr="00415889">
        <w:rPr>
          <w:sz w:val="24"/>
          <w:szCs w:val="24"/>
        </w:rPr>
        <w:t xml:space="preserve"> </w:t>
      </w:r>
    </w:p>
    <w:p w:rsidR="006F4AA6" w:rsidRPr="006F4AA6" w:rsidRDefault="006F4AA6" w:rsidP="006F4AA6"/>
    <w:p w:rsidR="004247F5" w:rsidRPr="004247F5" w:rsidRDefault="004247F5" w:rsidP="004247F5">
      <w:pPr>
        <w:rPr>
          <w:rFonts w:cs="Arial"/>
          <w:color w:val="auto"/>
          <w:sz w:val="24"/>
          <w:szCs w:val="24"/>
        </w:rPr>
      </w:pPr>
      <w:r w:rsidRPr="004247F5">
        <w:rPr>
          <w:rFonts w:cs="Arial"/>
          <w:b/>
          <w:bCs/>
          <w:color w:val="000000"/>
          <w:sz w:val="24"/>
          <w:szCs w:val="24"/>
        </w:rPr>
        <w:t xml:space="preserve">Referrals </w:t>
      </w:r>
    </w:p>
    <w:p w:rsidR="006F4AA6" w:rsidRDefault="006F4AA6" w:rsidP="006F4AA6">
      <w:pPr>
        <w:jc w:val="both"/>
        <w:rPr>
          <w:rFonts w:cs="Arial"/>
          <w:color w:val="000000"/>
          <w:sz w:val="24"/>
          <w:szCs w:val="24"/>
        </w:rPr>
      </w:pPr>
      <w:r w:rsidRPr="002D2890">
        <w:rPr>
          <w:rFonts w:cs="Arial"/>
          <w:color w:val="000000"/>
          <w:sz w:val="24"/>
          <w:szCs w:val="24"/>
        </w:rPr>
        <w:t xml:space="preserve">Patients appropriate for </w:t>
      </w:r>
      <w:r>
        <w:rPr>
          <w:rFonts w:cs="Arial"/>
          <w:color w:val="000000"/>
          <w:sz w:val="24"/>
          <w:szCs w:val="24"/>
        </w:rPr>
        <w:t>i</w:t>
      </w:r>
      <w:r w:rsidRPr="002D2890">
        <w:rPr>
          <w:rFonts w:cs="Arial"/>
          <w:color w:val="000000"/>
          <w:sz w:val="24"/>
          <w:szCs w:val="24"/>
        </w:rPr>
        <w:t>ron infusions in Community Hospitals are identified either through</w:t>
      </w:r>
      <w:r>
        <w:rPr>
          <w:rFonts w:cs="Arial"/>
          <w:color w:val="000000"/>
          <w:sz w:val="24"/>
          <w:szCs w:val="24"/>
        </w:rPr>
        <w:t>:</w:t>
      </w:r>
    </w:p>
    <w:p w:rsidR="00224053" w:rsidRDefault="006F4AA6" w:rsidP="006F4AA6">
      <w:pPr>
        <w:numPr>
          <w:ilvl w:val="0"/>
          <w:numId w:val="4"/>
        </w:numPr>
        <w:jc w:val="both"/>
        <w:rPr>
          <w:rFonts w:cs="Arial"/>
          <w:color w:val="auto"/>
          <w:sz w:val="24"/>
          <w:szCs w:val="24"/>
        </w:rPr>
      </w:pPr>
      <w:r w:rsidRPr="00224053">
        <w:rPr>
          <w:rFonts w:cs="Arial"/>
          <w:color w:val="auto"/>
          <w:sz w:val="24"/>
          <w:szCs w:val="24"/>
        </w:rPr>
        <w:t xml:space="preserve">GP direct request </w:t>
      </w:r>
    </w:p>
    <w:p w:rsidR="006F4AA6" w:rsidRPr="00224053" w:rsidRDefault="006F4AA6" w:rsidP="006F4AA6">
      <w:pPr>
        <w:numPr>
          <w:ilvl w:val="0"/>
          <w:numId w:val="4"/>
        </w:numPr>
        <w:jc w:val="both"/>
        <w:rPr>
          <w:rFonts w:cs="Arial"/>
          <w:color w:val="auto"/>
          <w:sz w:val="24"/>
          <w:szCs w:val="24"/>
        </w:rPr>
      </w:pPr>
      <w:r w:rsidRPr="00224053">
        <w:rPr>
          <w:rFonts w:cs="Arial"/>
          <w:color w:val="auto"/>
          <w:sz w:val="24"/>
          <w:szCs w:val="24"/>
        </w:rPr>
        <w:t>Secondary Care consultant request</w:t>
      </w:r>
    </w:p>
    <w:p w:rsidR="004247F5" w:rsidRDefault="006F4AA6" w:rsidP="004247F5">
      <w:pPr>
        <w:numPr>
          <w:ilvl w:val="0"/>
          <w:numId w:val="4"/>
        </w:numPr>
        <w:ind w:left="709"/>
        <w:jc w:val="both"/>
        <w:rPr>
          <w:sz w:val="24"/>
          <w:szCs w:val="24"/>
        </w:rPr>
      </w:pPr>
      <w:r w:rsidRPr="006F4AA6">
        <w:rPr>
          <w:rFonts w:cs="Arial"/>
          <w:color w:val="auto"/>
          <w:sz w:val="24"/>
          <w:szCs w:val="24"/>
        </w:rPr>
        <w:t xml:space="preserve">Hospital Transfusion Team discussion with GP after review of a blood transfusion request. The Hospital Transfusion Team </w:t>
      </w:r>
      <w:r w:rsidR="007D7273" w:rsidRPr="006F4AA6">
        <w:rPr>
          <w:sz w:val="24"/>
          <w:szCs w:val="24"/>
        </w:rPr>
        <w:t xml:space="preserve">screen all Primary Care requests for blood transfusions for </w:t>
      </w:r>
      <w:r w:rsidRPr="006F4AA6">
        <w:rPr>
          <w:sz w:val="24"/>
          <w:szCs w:val="24"/>
        </w:rPr>
        <w:t>i</w:t>
      </w:r>
      <w:r w:rsidR="007D7273" w:rsidRPr="006F4AA6">
        <w:rPr>
          <w:sz w:val="24"/>
          <w:szCs w:val="24"/>
        </w:rPr>
        <w:t xml:space="preserve">ron deficiency anaemia and </w:t>
      </w:r>
      <w:r w:rsidRPr="006F4AA6">
        <w:rPr>
          <w:sz w:val="24"/>
          <w:szCs w:val="24"/>
        </w:rPr>
        <w:t xml:space="preserve">if possible iron deficiency is identified, </w:t>
      </w:r>
      <w:r w:rsidR="007D7273" w:rsidRPr="006F4AA6">
        <w:rPr>
          <w:sz w:val="24"/>
          <w:szCs w:val="24"/>
        </w:rPr>
        <w:t xml:space="preserve">feedback is given to the GP that the patient may be suitable for </w:t>
      </w:r>
      <w:r w:rsidRPr="006F4AA6">
        <w:rPr>
          <w:sz w:val="24"/>
          <w:szCs w:val="24"/>
        </w:rPr>
        <w:t xml:space="preserve">oral or iv iron. </w:t>
      </w:r>
    </w:p>
    <w:p w:rsidR="00025473" w:rsidRPr="00025473" w:rsidRDefault="00C35D19" w:rsidP="00025473">
      <w:pPr>
        <w:jc w:val="both"/>
        <w:rPr>
          <w:sz w:val="24"/>
          <w:szCs w:val="24"/>
        </w:rPr>
      </w:pPr>
      <w:r w:rsidRPr="00025473">
        <w:rPr>
          <w:sz w:val="24"/>
          <w:szCs w:val="24"/>
        </w:rPr>
        <w:t>Referrals</w:t>
      </w:r>
      <w:r w:rsidR="00025473" w:rsidRPr="00025473">
        <w:rPr>
          <w:sz w:val="24"/>
          <w:szCs w:val="24"/>
        </w:rPr>
        <w:t xml:space="preserve"> for </w:t>
      </w:r>
      <w:r w:rsidRPr="00025473">
        <w:rPr>
          <w:sz w:val="24"/>
          <w:szCs w:val="24"/>
        </w:rPr>
        <w:t>Community</w:t>
      </w:r>
      <w:r w:rsidR="00025473" w:rsidRPr="00025473">
        <w:rPr>
          <w:sz w:val="24"/>
          <w:szCs w:val="24"/>
        </w:rPr>
        <w:t xml:space="preserve"> Hospital day transfusions are received by completing the booking form and emailing to rde-tr.communitytransfusions@nhs.net </w:t>
      </w:r>
    </w:p>
    <w:p w:rsidR="00025473" w:rsidRDefault="00025473" w:rsidP="00025473">
      <w:pPr>
        <w:jc w:val="both"/>
        <w:rPr>
          <w:sz w:val="24"/>
          <w:szCs w:val="24"/>
        </w:rPr>
      </w:pPr>
      <w:r w:rsidRPr="00025473">
        <w:rPr>
          <w:sz w:val="24"/>
          <w:szCs w:val="24"/>
        </w:rPr>
        <w:t xml:space="preserve">or by contacting day transfusions on  01395 519957 (between the hours of 9-3pm Monday to Friday) </w:t>
      </w:r>
    </w:p>
    <w:p w:rsidR="004247F5" w:rsidRPr="006F4AA6" w:rsidRDefault="006F4AA6" w:rsidP="004247F5">
      <w:pPr>
        <w:pStyle w:val="Default"/>
        <w:spacing w:before="120" w:after="120"/>
        <w:jc w:val="both"/>
        <w:rPr>
          <w:b/>
        </w:rPr>
      </w:pPr>
      <w:r w:rsidRPr="006F4AA6">
        <w:rPr>
          <w:b/>
        </w:rPr>
        <w:t>Serious hypersensitivity reactions, including life-threatening and fatal anaphylactic reactions, have been reported in patients receiving intravenous iron</w:t>
      </w:r>
      <w:r w:rsidR="00224053">
        <w:rPr>
          <w:b/>
        </w:rPr>
        <w:t xml:space="preserve"> therefore f</w:t>
      </w:r>
      <w:r w:rsidR="004247F5" w:rsidRPr="006F4AA6">
        <w:rPr>
          <w:b/>
          <w:bCs/>
        </w:rPr>
        <w:t>acilities for cardiopulmonary resuscitation</w:t>
      </w:r>
      <w:r w:rsidRPr="006F4AA6">
        <w:rPr>
          <w:b/>
          <w:bCs/>
        </w:rPr>
        <w:t xml:space="preserve"> including oxygen and suction</w:t>
      </w:r>
      <w:r w:rsidR="004247F5" w:rsidRPr="006F4AA6">
        <w:rPr>
          <w:b/>
          <w:bCs/>
        </w:rPr>
        <w:t xml:space="preserve"> must be available at the Community Hospital</w:t>
      </w:r>
      <w:r w:rsidRPr="006F4AA6">
        <w:rPr>
          <w:b/>
          <w:bCs/>
        </w:rPr>
        <w:t xml:space="preserve"> and access</w:t>
      </w:r>
      <w:r w:rsidR="004247F5" w:rsidRPr="006F4AA6">
        <w:rPr>
          <w:b/>
        </w:rPr>
        <w:t xml:space="preserve"> to anaphylaxis </w:t>
      </w:r>
      <w:r w:rsidRPr="006F4AA6">
        <w:rPr>
          <w:b/>
        </w:rPr>
        <w:t>equipment</w:t>
      </w:r>
      <w:r w:rsidR="004247F5" w:rsidRPr="006F4AA6">
        <w:rPr>
          <w:b/>
        </w:rPr>
        <w:t xml:space="preserve"> </w:t>
      </w:r>
      <w:r w:rsidRPr="006F4AA6">
        <w:rPr>
          <w:b/>
        </w:rPr>
        <w:t>including adrenaline</w:t>
      </w:r>
      <w:r w:rsidR="004247F5" w:rsidRPr="006F4AA6">
        <w:rPr>
          <w:b/>
        </w:rPr>
        <w:t xml:space="preserve"> should be available in the treatment area. </w:t>
      </w:r>
    </w:p>
    <w:p w:rsidR="006F4AA6" w:rsidRDefault="006F4AA6" w:rsidP="004247F5">
      <w:pPr>
        <w:pStyle w:val="Default"/>
        <w:spacing w:before="120" w:after="120"/>
        <w:jc w:val="both"/>
        <w:rPr>
          <w:b/>
        </w:rPr>
      </w:pPr>
      <w:r w:rsidRPr="006F4AA6">
        <w:rPr>
          <w:b/>
        </w:rPr>
        <w:t xml:space="preserve">Staff administering intravenous iron infusions must be </w:t>
      </w:r>
      <w:r w:rsidR="003672BC">
        <w:rPr>
          <w:b/>
        </w:rPr>
        <w:t xml:space="preserve">competent and </w:t>
      </w:r>
      <w:r w:rsidRPr="006F4AA6">
        <w:rPr>
          <w:b/>
        </w:rPr>
        <w:t>up to date with anaphylaxis</w:t>
      </w:r>
      <w:r w:rsidR="003672BC">
        <w:rPr>
          <w:b/>
        </w:rPr>
        <w:t xml:space="preserve">, </w:t>
      </w:r>
      <w:r w:rsidRPr="006F4AA6">
        <w:rPr>
          <w:b/>
        </w:rPr>
        <w:t>resuscita</w:t>
      </w:r>
      <w:r w:rsidRPr="009172A8">
        <w:rPr>
          <w:b/>
        </w:rPr>
        <w:t xml:space="preserve">tion </w:t>
      </w:r>
      <w:r w:rsidR="003672BC" w:rsidRPr="009172A8">
        <w:rPr>
          <w:b/>
        </w:rPr>
        <w:t xml:space="preserve">and intravenous drug administration </w:t>
      </w:r>
      <w:r w:rsidRPr="009172A8">
        <w:rPr>
          <w:b/>
        </w:rPr>
        <w:t>training.</w:t>
      </w:r>
      <w:r w:rsidRPr="006F4AA6">
        <w:rPr>
          <w:b/>
        </w:rPr>
        <w:t xml:space="preserve"> </w:t>
      </w:r>
    </w:p>
    <w:p w:rsidR="00224053" w:rsidRDefault="00224053" w:rsidP="00256FD3">
      <w:pPr>
        <w:pStyle w:val="Default"/>
        <w:jc w:val="both"/>
        <w:rPr>
          <w:b/>
        </w:rPr>
      </w:pPr>
    </w:p>
    <w:p w:rsidR="00256FD3" w:rsidRPr="00256FD3" w:rsidRDefault="00256FD3" w:rsidP="00256FD3">
      <w:pPr>
        <w:pStyle w:val="Default"/>
        <w:jc w:val="both"/>
        <w:rPr>
          <w:b/>
        </w:rPr>
      </w:pPr>
      <w:r w:rsidRPr="00256FD3">
        <w:rPr>
          <w:b/>
        </w:rPr>
        <w:t>Prescribing</w:t>
      </w:r>
    </w:p>
    <w:p w:rsidR="00256FD3" w:rsidRPr="00256FD3" w:rsidRDefault="00256FD3" w:rsidP="00256FD3">
      <w:pPr>
        <w:pStyle w:val="Default"/>
        <w:jc w:val="both"/>
      </w:pPr>
      <w:r w:rsidRPr="00256FD3">
        <w:t>The GP</w:t>
      </w:r>
      <w:r w:rsidR="006F4AA6">
        <w:t xml:space="preserve"> or the </w:t>
      </w:r>
      <w:r w:rsidRPr="00256FD3">
        <w:t xml:space="preserve">F2 prescriber does not have to be present in the Community Hospital when the infusion is taking place but does need to </w:t>
      </w:r>
      <w:r w:rsidR="00446919">
        <w:t xml:space="preserve">be </w:t>
      </w:r>
      <w:r w:rsidRPr="00256FD3">
        <w:t>accountab</w:t>
      </w:r>
      <w:r w:rsidR="00446919">
        <w:t>le</w:t>
      </w:r>
      <w:r w:rsidRPr="00256FD3">
        <w:t xml:space="preserve"> for appropriate prescribing and safe administration.</w:t>
      </w:r>
    </w:p>
    <w:p w:rsidR="00256FD3" w:rsidRDefault="00256FD3" w:rsidP="00256FD3">
      <w:pPr>
        <w:pStyle w:val="Default"/>
        <w:spacing w:before="120" w:after="120"/>
      </w:pPr>
      <w:r w:rsidRPr="00256FD3">
        <w:t xml:space="preserve">Monofer is the </w:t>
      </w:r>
      <w:r w:rsidRPr="00256FD3">
        <w:rPr>
          <w:b/>
        </w:rPr>
        <w:t xml:space="preserve">only </w:t>
      </w:r>
      <w:r w:rsidRPr="00256FD3">
        <w:t>parenteral</w:t>
      </w:r>
      <w:r>
        <w:t xml:space="preserve"> </w:t>
      </w:r>
      <w:r w:rsidRPr="00256FD3">
        <w:t xml:space="preserve">iron product to be prescribed as per </w:t>
      </w:r>
      <w:r>
        <w:t>r</w:t>
      </w:r>
      <w:r w:rsidRPr="00256FD3">
        <w:t>ecommendations</w:t>
      </w:r>
      <w:r>
        <w:t xml:space="preserve"> </w:t>
      </w:r>
      <w:r w:rsidRPr="00256FD3">
        <w:t>in</w:t>
      </w:r>
      <w:r>
        <w:t xml:space="preserve"> </w:t>
      </w:r>
      <w:r w:rsidRPr="00256FD3">
        <w:t xml:space="preserve">the </w:t>
      </w:r>
      <w:r w:rsidR="00CB52FA">
        <w:t xml:space="preserve">Joint </w:t>
      </w:r>
      <w:r w:rsidRPr="00256FD3">
        <w:t>North and East Devon Formulary</w:t>
      </w:r>
      <w:r>
        <w:t>.</w:t>
      </w:r>
      <w:r w:rsidRPr="00256FD3">
        <w:t xml:space="preserve"> </w:t>
      </w:r>
    </w:p>
    <w:p w:rsidR="00CB52FA" w:rsidRDefault="00424E0D" w:rsidP="00256FD3">
      <w:pPr>
        <w:pStyle w:val="Default"/>
        <w:spacing w:before="120" w:after="120"/>
      </w:pPr>
      <w:hyperlink r:id="rId16" w:history="1">
        <w:r w:rsidR="00CB52FA" w:rsidRPr="00CC47BC">
          <w:rPr>
            <w:rStyle w:val="Hyperlink"/>
          </w:rPr>
          <w:t>https://hub.exe.nhs.uk/search/?q=joint+formulary</w:t>
        </w:r>
      </w:hyperlink>
    </w:p>
    <w:p w:rsidR="00256FD3" w:rsidRPr="00256FD3" w:rsidRDefault="00256FD3" w:rsidP="00256FD3">
      <w:pPr>
        <w:pStyle w:val="Default"/>
      </w:pPr>
      <w:r w:rsidRPr="00256FD3">
        <w:t xml:space="preserve">Contra indications to Monofer as per the Summary of Product Characteristics (SPC)  </w:t>
      </w:r>
    </w:p>
    <w:p w:rsidR="00256FD3" w:rsidRDefault="00424E0D" w:rsidP="00256FD3">
      <w:pPr>
        <w:pStyle w:val="Default"/>
        <w:rPr>
          <w:rStyle w:val="Hyperlink"/>
        </w:rPr>
      </w:pPr>
      <w:hyperlink r:id="rId17" w:history="1">
        <w:r w:rsidR="00256FD3" w:rsidRPr="00256FD3">
          <w:rPr>
            <w:rStyle w:val="Hyperlink"/>
          </w:rPr>
          <w:t>Monofer 100mg/ml solution for injection/infusion - Summary of Product Characteristics (SPC) - (eMC)</w:t>
        </w:r>
      </w:hyperlink>
    </w:p>
    <w:p w:rsidR="00446919" w:rsidRPr="00256FD3" w:rsidRDefault="00446919" w:rsidP="00256FD3">
      <w:pPr>
        <w:pStyle w:val="Default"/>
      </w:pPr>
      <w:r>
        <w:rPr>
          <w:rStyle w:val="Hyperlink"/>
        </w:rPr>
        <w:t>Include:</w:t>
      </w:r>
    </w:p>
    <w:p w:rsidR="00256FD3" w:rsidRPr="00256FD3" w:rsidRDefault="00256FD3" w:rsidP="00256FD3">
      <w:pPr>
        <w:pStyle w:val="Default"/>
        <w:numPr>
          <w:ilvl w:val="0"/>
          <w:numId w:val="8"/>
        </w:numPr>
      </w:pPr>
      <w:r w:rsidRPr="00256FD3">
        <w:t xml:space="preserve">Non-iron deficiency anaemia. </w:t>
      </w:r>
    </w:p>
    <w:p w:rsidR="00256FD3" w:rsidRPr="00256FD3" w:rsidRDefault="00256FD3" w:rsidP="00256FD3">
      <w:pPr>
        <w:pStyle w:val="Default"/>
        <w:numPr>
          <w:ilvl w:val="0"/>
          <w:numId w:val="8"/>
        </w:numPr>
      </w:pPr>
      <w:r w:rsidRPr="00256FD3">
        <w:t xml:space="preserve">Iron overload or disturbances in utilisation of iron. </w:t>
      </w:r>
    </w:p>
    <w:p w:rsidR="00256FD3" w:rsidRPr="00256FD3" w:rsidRDefault="00256FD3" w:rsidP="00256FD3">
      <w:pPr>
        <w:pStyle w:val="Default"/>
        <w:numPr>
          <w:ilvl w:val="0"/>
          <w:numId w:val="8"/>
        </w:numPr>
      </w:pPr>
      <w:r w:rsidRPr="00256FD3">
        <w:t xml:space="preserve">Hypersensitivity to any of the ingredients. </w:t>
      </w:r>
    </w:p>
    <w:p w:rsidR="00256FD3" w:rsidRPr="00256FD3" w:rsidRDefault="00256FD3" w:rsidP="00256FD3">
      <w:pPr>
        <w:pStyle w:val="Default"/>
        <w:numPr>
          <w:ilvl w:val="0"/>
          <w:numId w:val="8"/>
        </w:numPr>
      </w:pPr>
      <w:r w:rsidRPr="00256FD3">
        <w:t>Patients with a history of asthma, allergic eczema or other atopic allergy.</w:t>
      </w:r>
    </w:p>
    <w:p w:rsidR="00256FD3" w:rsidRPr="00256FD3" w:rsidRDefault="00256FD3" w:rsidP="00256FD3">
      <w:pPr>
        <w:pStyle w:val="Default"/>
        <w:numPr>
          <w:ilvl w:val="0"/>
          <w:numId w:val="8"/>
        </w:numPr>
      </w:pPr>
      <w:r w:rsidRPr="00256FD3">
        <w:t xml:space="preserve">Decompensated liver cirrhosis and hepatitis. </w:t>
      </w:r>
    </w:p>
    <w:p w:rsidR="00256FD3" w:rsidRPr="00256FD3" w:rsidRDefault="00256FD3" w:rsidP="00256FD3">
      <w:pPr>
        <w:pStyle w:val="Default"/>
        <w:numPr>
          <w:ilvl w:val="0"/>
          <w:numId w:val="8"/>
        </w:numPr>
      </w:pPr>
      <w:r w:rsidRPr="00256FD3">
        <w:t>Rheumatoid arthritis with symptoms or signs of active inflammation</w:t>
      </w:r>
    </w:p>
    <w:p w:rsidR="00256FD3" w:rsidRDefault="00256FD3" w:rsidP="00256FD3">
      <w:pPr>
        <w:pStyle w:val="Default"/>
        <w:numPr>
          <w:ilvl w:val="0"/>
          <w:numId w:val="8"/>
        </w:numPr>
      </w:pPr>
      <w:r w:rsidRPr="00256FD3">
        <w:t>It is not recommended to administer oral iron until 5 days after the last iron infusion</w:t>
      </w:r>
    </w:p>
    <w:p w:rsidR="007054BF" w:rsidRDefault="007054BF" w:rsidP="007054BF">
      <w:pPr>
        <w:pStyle w:val="Default"/>
        <w:ind w:left="360"/>
      </w:pPr>
    </w:p>
    <w:p w:rsidR="007054BF" w:rsidRPr="009172A8" w:rsidRDefault="007054BF" w:rsidP="007054BF">
      <w:pPr>
        <w:pStyle w:val="Default"/>
        <w:jc w:val="both"/>
      </w:pPr>
      <w:r w:rsidRPr="007054BF">
        <w:t>The risk of hypersensitivity is increased in patients with known allergies, immune or inflammatory conditions (</w:t>
      </w:r>
      <w:r w:rsidRPr="009172A8">
        <w:t xml:space="preserve">e.g. </w:t>
      </w:r>
      <w:r w:rsidR="003672BC" w:rsidRPr="009172A8">
        <w:t>Systemic lupus erythematosus (</w:t>
      </w:r>
      <w:r w:rsidRPr="009172A8">
        <w:t>SLE</w:t>
      </w:r>
      <w:r w:rsidR="003672BC" w:rsidRPr="009172A8">
        <w:t>)</w:t>
      </w:r>
      <w:r w:rsidRPr="009172A8">
        <w:t xml:space="preserve"> and rheumatoid </w:t>
      </w:r>
      <w:r w:rsidRPr="009172A8">
        <w:lastRenderedPageBreak/>
        <w:t>arthritis); or those with severe asthma, eczema or other atopic allergy.  In these patients IV iron products should only be used if the benefits are clearly judged to outweigh the risks.</w:t>
      </w:r>
    </w:p>
    <w:p w:rsidR="00256FD3" w:rsidRPr="009172A8" w:rsidRDefault="00256FD3" w:rsidP="007054BF">
      <w:pPr>
        <w:pStyle w:val="Default"/>
        <w:jc w:val="both"/>
      </w:pPr>
    </w:p>
    <w:p w:rsidR="00224053" w:rsidRDefault="00256FD3" w:rsidP="00DC1190">
      <w:pPr>
        <w:pStyle w:val="Default"/>
        <w:jc w:val="both"/>
      </w:pPr>
      <w:r w:rsidRPr="009172A8">
        <w:t>The Monofer dose prescribed by the GP or F2 should be based on the individual patient</w:t>
      </w:r>
      <w:r w:rsidR="006F4AA6" w:rsidRPr="009172A8">
        <w:t>’</w:t>
      </w:r>
      <w:r w:rsidRPr="009172A8">
        <w:t>s needs including weight</w:t>
      </w:r>
      <w:r w:rsidR="00A719BA">
        <w:t xml:space="preserve"> </w:t>
      </w:r>
      <w:r w:rsidRPr="009172A8">
        <w:t>and iron deficit</w:t>
      </w:r>
      <w:r w:rsidR="00025473">
        <w:t>.</w:t>
      </w:r>
      <w:r w:rsidRPr="009172A8">
        <w:t xml:space="preserve"> </w:t>
      </w:r>
    </w:p>
    <w:p w:rsidR="00825F66" w:rsidRDefault="00825F66" w:rsidP="00DC1190">
      <w:pPr>
        <w:pStyle w:val="Default"/>
        <w:jc w:val="both"/>
      </w:pPr>
    </w:p>
    <w:p w:rsidR="00025473" w:rsidRDefault="00825F66" w:rsidP="00025473">
      <w:pPr>
        <w:pStyle w:val="Default"/>
        <w:jc w:val="both"/>
      </w:pPr>
      <w:r w:rsidRPr="00825F66">
        <w:t xml:space="preserve">In </w:t>
      </w:r>
      <w:r>
        <w:t>C</w:t>
      </w:r>
      <w:r w:rsidRPr="00825F66">
        <w:t xml:space="preserve">ommunity </w:t>
      </w:r>
      <w:r>
        <w:t xml:space="preserve">Hospitals </w:t>
      </w:r>
      <w:r w:rsidRPr="00825F66">
        <w:t xml:space="preserve">1gm </w:t>
      </w:r>
      <w:r>
        <w:t xml:space="preserve">should be prescribed </w:t>
      </w:r>
      <w:r w:rsidR="00025473">
        <w:t xml:space="preserve">unless the patient is </w:t>
      </w:r>
    </w:p>
    <w:p w:rsidR="00025473" w:rsidRDefault="00025473" w:rsidP="00B15996">
      <w:pPr>
        <w:pStyle w:val="Default"/>
        <w:numPr>
          <w:ilvl w:val="0"/>
          <w:numId w:val="19"/>
        </w:numPr>
        <w:jc w:val="both"/>
      </w:pPr>
      <w:r>
        <w:t>under 50Kg in weight</w:t>
      </w:r>
    </w:p>
    <w:p w:rsidR="00025473" w:rsidRDefault="00025473" w:rsidP="00B15996">
      <w:pPr>
        <w:pStyle w:val="Default"/>
        <w:numPr>
          <w:ilvl w:val="0"/>
          <w:numId w:val="18"/>
        </w:numPr>
        <w:jc w:val="both"/>
      </w:pPr>
      <w:r>
        <w:t xml:space="preserve">under 160cm in height </w:t>
      </w:r>
    </w:p>
    <w:p w:rsidR="000D5D11" w:rsidRDefault="00025473" w:rsidP="00025473">
      <w:pPr>
        <w:pStyle w:val="Default"/>
        <w:jc w:val="both"/>
      </w:pPr>
      <w:r>
        <w:t xml:space="preserve">In these cases the </w:t>
      </w:r>
      <w:r w:rsidR="004A5900">
        <w:t>monofer</w:t>
      </w:r>
      <w:r>
        <w:t xml:space="preserve"> calculator is used and weight and h</w:t>
      </w:r>
      <w:r w:rsidR="00C35D19">
        <w:t>eight</w:t>
      </w:r>
      <w:r>
        <w:t xml:space="preserve"> are required </w:t>
      </w:r>
      <w:r w:rsidR="004A5900">
        <w:t>(Appendix 1)</w:t>
      </w:r>
    </w:p>
    <w:p w:rsidR="00A719BA" w:rsidRPr="00E4722B" w:rsidRDefault="000D5D11" w:rsidP="00DC1190">
      <w:pPr>
        <w:pStyle w:val="Default"/>
        <w:jc w:val="both"/>
        <w:rPr>
          <w:color w:val="auto"/>
        </w:rPr>
      </w:pPr>
      <w:r w:rsidRPr="00EE4191">
        <w:t>All prescriptions are checked through pharmacy and ordered as individual patient prescriptions.</w:t>
      </w:r>
      <w:r w:rsidR="00D02072">
        <w:t xml:space="preserve"> </w:t>
      </w:r>
      <w:r w:rsidR="00D02072" w:rsidRPr="00E4722B">
        <w:rPr>
          <w:color w:val="auto"/>
        </w:rPr>
        <w:t>(See note re supplies below)</w:t>
      </w:r>
    </w:p>
    <w:p w:rsidR="00256FD3" w:rsidRPr="009172A8" w:rsidRDefault="00256FD3" w:rsidP="00DC1190">
      <w:pPr>
        <w:pStyle w:val="Default"/>
        <w:jc w:val="both"/>
      </w:pPr>
    </w:p>
    <w:p w:rsidR="00256FD3" w:rsidRPr="009172A8" w:rsidRDefault="00256FD3" w:rsidP="00DC1190">
      <w:pPr>
        <w:pStyle w:val="Default"/>
        <w:jc w:val="both"/>
      </w:pPr>
      <w:r w:rsidRPr="009172A8">
        <w:t xml:space="preserve">The individual prescription should be clearly written and </w:t>
      </w:r>
      <w:r w:rsidR="00DC1190" w:rsidRPr="009172A8">
        <w:t>signed on</w:t>
      </w:r>
      <w:r w:rsidRPr="009172A8">
        <w:t xml:space="preserve"> a </w:t>
      </w:r>
      <w:r w:rsidR="00B15996" w:rsidRPr="00B15996">
        <w:t xml:space="preserve">Fluid (Additive Drug) Prescription Medication Sheet. </w:t>
      </w:r>
      <w:r w:rsidRPr="009172A8">
        <w:t xml:space="preserve">and </w:t>
      </w:r>
      <w:r w:rsidR="00DC1190" w:rsidRPr="009172A8">
        <w:t>include</w:t>
      </w:r>
      <w:r w:rsidRPr="009172A8">
        <w:t xml:space="preserve">: </w:t>
      </w:r>
    </w:p>
    <w:p w:rsidR="00256FD3" w:rsidRPr="009172A8" w:rsidRDefault="00256FD3" w:rsidP="00DC1190">
      <w:pPr>
        <w:pStyle w:val="Default"/>
        <w:numPr>
          <w:ilvl w:val="0"/>
          <w:numId w:val="10"/>
        </w:numPr>
        <w:jc w:val="both"/>
      </w:pPr>
      <w:r w:rsidRPr="009172A8">
        <w:t xml:space="preserve">Patients name </w:t>
      </w:r>
      <w:r w:rsidR="00DC1190" w:rsidRPr="009172A8">
        <w:t>and weight</w:t>
      </w:r>
      <w:r w:rsidR="00825F66">
        <w:t xml:space="preserve"> (H</w:t>
      </w:r>
      <w:r w:rsidR="00C35D19">
        <w:t>eight</w:t>
      </w:r>
      <w:r w:rsidR="00825F66">
        <w:t xml:space="preserve"> if under 50kg in weight)</w:t>
      </w:r>
    </w:p>
    <w:p w:rsidR="00256FD3" w:rsidRPr="009172A8" w:rsidRDefault="00256FD3" w:rsidP="00DC1190">
      <w:pPr>
        <w:pStyle w:val="Default"/>
        <w:numPr>
          <w:ilvl w:val="0"/>
          <w:numId w:val="10"/>
        </w:numPr>
        <w:jc w:val="both"/>
      </w:pPr>
      <w:r w:rsidRPr="009172A8">
        <w:t>Allergy status</w:t>
      </w:r>
    </w:p>
    <w:p w:rsidR="00256FD3" w:rsidRPr="009172A8" w:rsidRDefault="00256FD3" w:rsidP="00DC1190">
      <w:pPr>
        <w:pStyle w:val="Default"/>
        <w:numPr>
          <w:ilvl w:val="0"/>
          <w:numId w:val="9"/>
        </w:numPr>
        <w:jc w:val="both"/>
      </w:pPr>
      <w:r w:rsidRPr="009172A8">
        <w:t xml:space="preserve">Monofer Dose written in mg </w:t>
      </w:r>
    </w:p>
    <w:p w:rsidR="00256FD3" w:rsidRPr="009172A8" w:rsidRDefault="00256FD3" w:rsidP="00DC1190">
      <w:pPr>
        <w:pStyle w:val="Default"/>
        <w:numPr>
          <w:ilvl w:val="0"/>
          <w:numId w:val="9"/>
        </w:numPr>
        <w:jc w:val="both"/>
      </w:pPr>
      <w:r w:rsidRPr="009172A8">
        <w:t>Route</w:t>
      </w:r>
      <w:r w:rsidR="006F4AA6" w:rsidRPr="009172A8">
        <w:t xml:space="preserve"> of administration</w:t>
      </w:r>
    </w:p>
    <w:p w:rsidR="00256FD3" w:rsidRPr="009172A8" w:rsidRDefault="00D020E9" w:rsidP="00DC1190">
      <w:pPr>
        <w:pStyle w:val="Default"/>
        <w:numPr>
          <w:ilvl w:val="0"/>
          <w:numId w:val="9"/>
        </w:numPr>
        <w:jc w:val="both"/>
      </w:pPr>
      <w:r w:rsidRPr="009172A8">
        <w:t>Dilution</w:t>
      </w:r>
      <w:r w:rsidR="007054BF" w:rsidRPr="009172A8">
        <w:t xml:space="preserve"> - Monofer must only be diluted in Normal Saline (</w:t>
      </w:r>
      <w:r w:rsidR="003672BC" w:rsidRPr="009172A8">
        <w:t xml:space="preserve">recommended </w:t>
      </w:r>
      <w:r w:rsidR="007054BF" w:rsidRPr="009172A8">
        <w:t xml:space="preserve"> 100mls</w:t>
      </w:r>
      <w:r w:rsidR="003672BC" w:rsidRPr="009172A8">
        <w:t>)</w:t>
      </w:r>
    </w:p>
    <w:p w:rsidR="00256FD3" w:rsidRPr="009172A8" w:rsidRDefault="00256FD3" w:rsidP="00DC1190">
      <w:pPr>
        <w:pStyle w:val="Default"/>
        <w:numPr>
          <w:ilvl w:val="0"/>
          <w:numId w:val="9"/>
        </w:numPr>
        <w:jc w:val="both"/>
      </w:pPr>
      <w:r w:rsidRPr="009172A8">
        <w:t xml:space="preserve">Infusion date and  time </w:t>
      </w:r>
    </w:p>
    <w:p w:rsidR="00256FD3" w:rsidRPr="009172A8" w:rsidRDefault="00256FD3" w:rsidP="00DC1190">
      <w:pPr>
        <w:pStyle w:val="Default"/>
        <w:numPr>
          <w:ilvl w:val="0"/>
          <w:numId w:val="9"/>
        </w:numPr>
        <w:jc w:val="both"/>
      </w:pPr>
      <w:r w:rsidRPr="009172A8">
        <w:t xml:space="preserve">Infusion </w:t>
      </w:r>
      <w:r w:rsidR="00825F66">
        <w:t xml:space="preserve">duration </w:t>
      </w:r>
    </w:p>
    <w:p w:rsidR="00DC1190" w:rsidRPr="00256FD3" w:rsidRDefault="00DC1190" w:rsidP="006F4AA6">
      <w:pPr>
        <w:pStyle w:val="Default"/>
        <w:ind w:left="360"/>
        <w:jc w:val="both"/>
      </w:pPr>
    </w:p>
    <w:p w:rsidR="00DC1190" w:rsidRDefault="00256FD3" w:rsidP="00DC1190">
      <w:pPr>
        <w:pStyle w:val="Default"/>
        <w:jc w:val="both"/>
      </w:pPr>
      <w:r w:rsidRPr="00256FD3">
        <w:t xml:space="preserve">Doses up 1000mg </w:t>
      </w:r>
      <w:r w:rsidR="00025473">
        <w:t xml:space="preserve">should </w:t>
      </w:r>
      <w:r w:rsidRPr="00256FD3">
        <w:t xml:space="preserve">be infused over </w:t>
      </w:r>
      <w:r w:rsidR="00C35D19">
        <w:t>30minutes</w:t>
      </w:r>
    </w:p>
    <w:p w:rsidR="00280FC4" w:rsidRPr="00256FD3" w:rsidRDefault="00280FC4" w:rsidP="00DC1190">
      <w:pPr>
        <w:pStyle w:val="Default"/>
        <w:jc w:val="both"/>
      </w:pPr>
    </w:p>
    <w:p w:rsidR="00DC1190" w:rsidRPr="00EE4191" w:rsidRDefault="00DC1190" w:rsidP="00DC1190">
      <w:pPr>
        <w:pStyle w:val="Default"/>
        <w:jc w:val="both"/>
        <w:rPr>
          <w:b/>
        </w:rPr>
      </w:pPr>
      <w:r w:rsidRPr="00EE4191">
        <w:rPr>
          <w:b/>
        </w:rPr>
        <w:t>Supplies</w:t>
      </w:r>
    </w:p>
    <w:p w:rsidR="00DC1190" w:rsidRDefault="00DC1190" w:rsidP="00674E5B">
      <w:pPr>
        <w:contextualSpacing/>
        <w:jc w:val="both"/>
        <w:rPr>
          <w:rFonts w:cs="Arial"/>
          <w:sz w:val="24"/>
          <w:szCs w:val="24"/>
        </w:rPr>
      </w:pPr>
      <w:r w:rsidRPr="00EE4191">
        <w:rPr>
          <w:rFonts w:cs="Arial"/>
          <w:sz w:val="24"/>
          <w:szCs w:val="24"/>
        </w:rPr>
        <w:t>Parenteral iron supplies should be dispensed on a named patient basis by the RDE</w:t>
      </w:r>
      <w:r w:rsidRPr="0019500B">
        <w:rPr>
          <w:rFonts w:cs="Arial"/>
          <w:sz w:val="24"/>
          <w:szCs w:val="24"/>
        </w:rPr>
        <w:t xml:space="preserve"> </w:t>
      </w:r>
    </w:p>
    <w:p w:rsidR="00DC1190" w:rsidRPr="00E4722B" w:rsidRDefault="003948D9" w:rsidP="00674E5B">
      <w:pPr>
        <w:contextualSpacing/>
        <w:jc w:val="both"/>
        <w:rPr>
          <w:rFonts w:cs="Arial"/>
          <w:color w:val="auto"/>
          <w:sz w:val="24"/>
          <w:szCs w:val="24"/>
        </w:rPr>
      </w:pPr>
      <w:r>
        <w:rPr>
          <w:rFonts w:cs="Arial"/>
          <w:color w:val="auto"/>
          <w:sz w:val="24"/>
          <w:szCs w:val="24"/>
        </w:rPr>
        <w:t xml:space="preserve">Four 500mg </w:t>
      </w:r>
      <w:r w:rsidR="006D4780" w:rsidRPr="00E4722B">
        <w:rPr>
          <w:rFonts w:cs="Arial"/>
          <w:color w:val="auto"/>
          <w:sz w:val="24"/>
          <w:szCs w:val="24"/>
        </w:rPr>
        <w:t xml:space="preserve">vials are in stock for use within the transfusion service at Sidmouth hospital </w:t>
      </w:r>
      <w:r w:rsidR="00D02072" w:rsidRPr="00E4722B">
        <w:rPr>
          <w:rFonts w:cs="Arial"/>
          <w:color w:val="auto"/>
          <w:sz w:val="24"/>
          <w:szCs w:val="24"/>
        </w:rPr>
        <w:t xml:space="preserve">these are </w:t>
      </w:r>
      <w:r w:rsidR="006D4780" w:rsidRPr="00E4722B">
        <w:rPr>
          <w:rFonts w:cs="Arial"/>
          <w:color w:val="auto"/>
          <w:sz w:val="24"/>
          <w:szCs w:val="24"/>
        </w:rPr>
        <w:t xml:space="preserve">only to be used in a scenario where a patient needs to attend for an iron infusion urgently and there isn't enough time to pre-prescribe. </w:t>
      </w:r>
    </w:p>
    <w:p w:rsidR="006D4780" w:rsidRPr="006D4780" w:rsidRDefault="006D4780" w:rsidP="00674E5B">
      <w:pPr>
        <w:contextualSpacing/>
        <w:jc w:val="both"/>
        <w:rPr>
          <w:rFonts w:cs="Arial"/>
          <w:color w:val="FF0000"/>
          <w:sz w:val="24"/>
          <w:szCs w:val="24"/>
        </w:rPr>
      </w:pPr>
    </w:p>
    <w:p w:rsidR="00DC1190" w:rsidRPr="00DC1190" w:rsidRDefault="00DC1190" w:rsidP="00674E5B">
      <w:pPr>
        <w:pStyle w:val="Default"/>
        <w:jc w:val="both"/>
        <w:rPr>
          <w:b/>
        </w:rPr>
      </w:pPr>
      <w:r w:rsidRPr="00DC1190">
        <w:rPr>
          <w:b/>
        </w:rPr>
        <w:t>Administration</w:t>
      </w:r>
    </w:p>
    <w:p w:rsidR="00DC1190" w:rsidRDefault="00DC1190" w:rsidP="00674E5B">
      <w:pPr>
        <w:pStyle w:val="Default"/>
        <w:jc w:val="both"/>
      </w:pPr>
      <w:r w:rsidRPr="00DC1190">
        <w:t>On</w:t>
      </w:r>
      <w:r w:rsidR="006F4AA6">
        <w:t xml:space="preserve"> </w:t>
      </w:r>
      <w:r w:rsidR="007054BF">
        <w:t xml:space="preserve">the </w:t>
      </w:r>
      <w:r w:rsidR="007054BF" w:rsidRPr="00DC1190">
        <w:t>day</w:t>
      </w:r>
      <w:r w:rsidRPr="008A7655">
        <w:t xml:space="preserve"> of </w:t>
      </w:r>
      <w:r w:rsidR="006F4AA6">
        <w:t xml:space="preserve">the </w:t>
      </w:r>
      <w:r w:rsidRPr="008A7655">
        <w:t>Monofer infusion</w:t>
      </w:r>
      <w:r w:rsidR="006F4AA6">
        <w:t>,</w:t>
      </w:r>
      <w:r w:rsidRPr="008A7655">
        <w:t xml:space="preserve"> patients must be infection free.</w:t>
      </w:r>
    </w:p>
    <w:p w:rsidR="004850BD" w:rsidRDefault="004850BD" w:rsidP="00674E5B">
      <w:pPr>
        <w:pStyle w:val="Default"/>
        <w:jc w:val="both"/>
      </w:pPr>
    </w:p>
    <w:p w:rsidR="004850BD" w:rsidRPr="008A7655" w:rsidRDefault="00CB466D" w:rsidP="00674E5B">
      <w:pPr>
        <w:pStyle w:val="Default"/>
        <w:jc w:val="both"/>
      </w:pPr>
      <w:r>
        <w:t>Prescription checked against up to date weight and height.</w:t>
      </w:r>
    </w:p>
    <w:p w:rsidR="00DC1190" w:rsidRPr="008A7655" w:rsidRDefault="00DC1190" w:rsidP="00674E5B">
      <w:pPr>
        <w:pStyle w:val="Default"/>
        <w:jc w:val="both"/>
      </w:pPr>
    </w:p>
    <w:p w:rsidR="00DC1190" w:rsidRDefault="00DC1190" w:rsidP="00674E5B">
      <w:pPr>
        <w:pStyle w:val="Default"/>
        <w:jc w:val="both"/>
      </w:pPr>
      <w:r w:rsidRPr="00DC1190">
        <w:t>Patients should be verbally informed of the risks of Monofer infusions and recognition of any adverse reactions</w:t>
      </w:r>
      <w:r w:rsidR="006F4AA6">
        <w:t xml:space="preserve"> and given a patient information leaflet</w:t>
      </w:r>
      <w:r w:rsidR="007054BF">
        <w:t xml:space="preserve"> (Appendix </w:t>
      </w:r>
      <w:r w:rsidR="00C35D19">
        <w:t>3</w:t>
      </w:r>
      <w:r w:rsidR="007054BF">
        <w:t>)</w:t>
      </w:r>
      <w:r w:rsidRPr="00DC1190">
        <w:t>.</w:t>
      </w:r>
    </w:p>
    <w:p w:rsidR="00280FC4" w:rsidRDefault="00280FC4" w:rsidP="00674E5B">
      <w:pPr>
        <w:pStyle w:val="Default"/>
        <w:jc w:val="both"/>
      </w:pPr>
    </w:p>
    <w:p w:rsidR="00291F06" w:rsidRDefault="00280FC4" w:rsidP="00674E5B">
      <w:pPr>
        <w:pStyle w:val="Default"/>
        <w:jc w:val="both"/>
      </w:pPr>
      <w:r>
        <w:t>Patient’s</w:t>
      </w:r>
      <w:r w:rsidR="00291F06">
        <w:t xml:space="preserve"> verbal consent should be documented. </w:t>
      </w:r>
    </w:p>
    <w:p w:rsidR="005956C0" w:rsidRDefault="005956C0" w:rsidP="00674E5B">
      <w:pPr>
        <w:pStyle w:val="Default"/>
        <w:jc w:val="both"/>
      </w:pPr>
    </w:p>
    <w:p w:rsidR="005956C0" w:rsidRPr="009172A8" w:rsidRDefault="005956C0" w:rsidP="00674E5B">
      <w:pPr>
        <w:pStyle w:val="Default"/>
        <w:jc w:val="both"/>
      </w:pPr>
      <w:r w:rsidRPr="009172A8">
        <w:t>Monofer should only be administered through an appropriate size IV cannula (22G</w:t>
      </w:r>
      <w:r w:rsidR="00BE71C0" w:rsidRPr="009172A8">
        <w:t>/20G/18G</w:t>
      </w:r>
      <w:r w:rsidRPr="009172A8">
        <w:t>) and delivered via an IV pump (Braun Infusomat Space). The IV site and the Visual Infusion Phlebitis (VIP) score should be recorded and site observed for any signs of extravasation (leakage of drug into the tissue). The cannula should be flushed pre and post transfusion with Normal Saline</w:t>
      </w:r>
      <w:r w:rsidR="00BE71C0" w:rsidRPr="009172A8">
        <w:t>.</w:t>
      </w:r>
    </w:p>
    <w:p w:rsidR="00DC1190" w:rsidRPr="009172A8" w:rsidRDefault="00DC1190" w:rsidP="00674E5B">
      <w:pPr>
        <w:pStyle w:val="Default"/>
        <w:jc w:val="both"/>
      </w:pPr>
    </w:p>
    <w:p w:rsidR="00DC1190" w:rsidRDefault="00DC1190" w:rsidP="00674E5B">
      <w:pPr>
        <w:pStyle w:val="Default"/>
        <w:jc w:val="both"/>
      </w:pPr>
      <w:r w:rsidRPr="009172A8">
        <w:lastRenderedPageBreak/>
        <w:t>All patients should</w:t>
      </w:r>
      <w:r w:rsidRPr="00DC1190">
        <w:t xml:space="preserve"> be closely monitored for signs of hypersensitivity during and for at least 30 minutes after every administration of Monofer.</w:t>
      </w:r>
    </w:p>
    <w:p w:rsidR="00DC1190" w:rsidRPr="00DC1190" w:rsidRDefault="00DC1190" w:rsidP="00674E5B">
      <w:pPr>
        <w:pStyle w:val="Default"/>
        <w:jc w:val="both"/>
      </w:pPr>
    </w:p>
    <w:p w:rsidR="00DC1190" w:rsidRDefault="00DC1190" w:rsidP="00674E5B">
      <w:pPr>
        <w:pStyle w:val="Default"/>
        <w:jc w:val="both"/>
      </w:pPr>
      <w:r w:rsidRPr="00DC1190">
        <w:t xml:space="preserve">Baseline observations and early warning score should be completed prior to the </w:t>
      </w:r>
      <w:r w:rsidR="00154508">
        <w:t>infusion</w:t>
      </w:r>
      <w:r w:rsidRPr="00DC1190">
        <w:t xml:space="preserve"> being commenced and again on completion.</w:t>
      </w:r>
    </w:p>
    <w:p w:rsidR="00DC1190" w:rsidRPr="00DC1190" w:rsidRDefault="00DC1190" w:rsidP="00674E5B">
      <w:pPr>
        <w:pStyle w:val="Default"/>
        <w:jc w:val="both"/>
      </w:pPr>
    </w:p>
    <w:p w:rsidR="00224053" w:rsidRDefault="00DC1190" w:rsidP="00674E5B">
      <w:pPr>
        <w:pStyle w:val="Default"/>
        <w:jc w:val="both"/>
      </w:pPr>
      <w:r w:rsidRPr="00DC1190">
        <w:t>On completion of</w:t>
      </w:r>
      <w:r w:rsidR="00154508">
        <w:t xml:space="preserve"> infusion </w:t>
      </w:r>
      <w:r w:rsidR="00154508" w:rsidRPr="00DC1190">
        <w:t>patients</w:t>
      </w:r>
      <w:r w:rsidRPr="00DC1190">
        <w:t xml:space="preserve"> should then be observed for adverse effects for at least a further 30 minutes before being discharged</w:t>
      </w:r>
      <w:r w:rsidR="004A5900">
        <w:t xml:space="preserve"> and information leaflet given (Appendix 2)</w:t>
      </w:r>
      <w:r w:rsidR="00291F06">
        <w:t>.</w:t>
      </w:r>
      <w:r w:rsidR="00ED74B2">
        <w:t xml:space="preserve"> </w:t>
      </w:r>
    </w:p>
    <w:p w:rsidR="00291F06" w:rsidRDefault="00291F06" w:rsidP="00674E5B">
      <w:pPr>
        <w:pStyle w:val="Default"/>
        <w:jc w:val="both"/>
      </w:pPr>
    </w:p>
    <w:p w:rsidR="005C6636" w:rsidRDefault="002E7471" w:rsidP="00674E5B">
      <w:pPr>
        <w:pStyle w:val="Default"/>
        <w:jc w:val="both"/>
      </w:pPr>
      <w:r>
        <w:rPr>
          <w:b/>
        </w:rPr>
        <w:t xml:space="preserve">Main </w:t>
      </w:r>
      <w:r w:rsidRPr="002E7471">
        <w:rPr>
          <w:b/>
        </w:rPr>
        <w:t>Complications</w:t>
      </w:r>
    </w:p>
    <w:p w:rsidR="00DC1190" w:rsidRPr="00DC1190" w:rsidRDefault="005C6636" w:rsidP="00674E5B">
      <w:pPr>
        <w:pStyle w:val="Default"/>
        <w:jc w:val="both"/>
      </w:pPr>
      <w:r w:rsidRPr="002E7471">
        <w:t>Extravasation</w:t>
      </w:r>
    </w:p>
    <w:p w:rsidR="00DC1190" w:rsidRDefault="006F4AA6" w:rsidP="00674E5B">
      <w:pPr>
        <w:pStyle w:val="Default"/>
        <w:jc w:val="both"/>
      </w:pPr>
      <w:r>
        <w:t>Extravasation of all forms of IV iron therapy may result in permanent skin pigmentation and skin irritation. I</w:t>
      </w:r>
      <w:r w:rsidR="00DC1190" w:rsidRPr="00DC1190">
        <w:t>ron should</w:t>
      </w:r>
      <w:r>
        <w:t xml:space="preserve"> therefore</w:t>
      </w:r>
      <w:r w:rsidR="00DC1190" w:rsidRPr="00DC1190">
        <w:t xml:space="preserve"> only be transfused via larger</w:t>
      </w:r>
      <w:r>
        <w:t xml:space="preserve"> visible</w:t>
      </w:r>
      <w:r w:rsidR="00DC1190" w:rsidRPr="00DC1190">
        <w:t xml:space="preserve"> veins and if any </w:t>
      </w:r>
      <w:r>
        <w:t>symptoms or signs</w:t>
      </w:r>
      <w:r w:rsidR="00DC1190" w:rsidRPr="00DC1190">
        <w:t xml:space="preserve"> of extravasation are suspected the infusion should be discontinued immediately and the GP/F2 informed. Treatment is dependent on the severity of the extravasation and should be determined before removal of the </w:t>
      </w:r>
      <w:r w:rsidRPr="00DC1190">
        <w:t>cannula;</w:t>
      </w:r>
      <w:r w:rsidR="00DC1190" w:rsidRPr="00DC1190">
        <w:t xml:space="preserve"> advice may be sought from the</w:t>
      </w:r>
      <w:r w:rsidR="00825F66">
        <w:t xml:space="preserve"> RD&amp;E Trust IV Policy</w:t>
      </w:r>
      <w:r w:rsidR="00516333">
        <w:t xml:space="preserve"> and the</w:t>
      </w:r>
      <w:r w:rsidR="004A5900">
        <w:t xml:space="preserve"> </w:t>
      </w:r>
      <w:r w:rsidR="00DC1190" w:rsidRPr="00DC1190">
        <w:t>RDE Pharmacy Department.  All incidents of extravasation should be documented in the patient’s notes and a datix incident form completed.</w:t>
      </w:r>
    </w:p>
    <w:p w:rsidR="005C6636" w:rsidRDefault="005C6636" w:rsidP="00674E5B">
      <w:pPr>
        <w:pStyle w:val="Default"/>
        <w:jc w:val="both"/>
      </w:pPr>
    </w:p>
    <w:p w:rsidR="005C6636" w:rsidRPr="002E7471" w:rsidRDefault="005C6636" w:rsidP="005C6636">
      <w:pPr>
        <w:keepNext/>
        <w:keepLines/>
        <w:spacing w:before="140" w:line="240" w:lineRule="auto"/>
        <w:outlineLvl w:val="1"/>
        <w:rPr>
          <w:rFonts w:eastAsia="Times New Roman" w:cs="Arial"/>
          <w:bCs/>
          <w:color w:val="000000"/>
          <w:sz w:val="24"/>
          <w:szCs w:val="24"/>
        </w:rPr>
      </w:pPr>
      <w:bookmarkStart w:id="3" w:name="_Toc420666857"/>
      <w:r w:rsidRPr="002E7471">
        <w:rPr>
          <w:rFonts w:eastAsia="Times New Roman" w:cs="Arial"/>
          <w:bCs/>
          <w:color w:val="000000"/>
          <w:sz w:val="24"/>
          <w:szCs w:val="24"/>
        </w:rPr>
        <w:t xml:space="preserve">Anaphylaxis (Appendix </w:t>
      </w:r>
      <w:r w:rsidR="00ED74B2">
        <w:rPr>
          <w:rFonts w:eastAsia="Times New Roman" w:cs="Arial"/>
          <w:bCs/>
          <w:color w:val="000000"/>
          <w:sz w:val="24"/>
          <w:szCs w:val="24"/>
        </w:rPr>
        <w:t>3</w:t>
      </w:r>
      <w:r w:rsidRPr="002E7471">
        <w:rPr>
          <w:rFonts w:eastAsia="Times New Roman" w:cs="Arial"/>
          <w:bCs/>
          <w:color w:val="000000"/>
          <w:sz w:val="24"/>
          <w:szCs w:val="24"/>
        </w:rPr>
        <w:t>)</w:t>
      </w:r>
      <w:bookmarkEnd w:id="3"/>
    </w:p>
    <w:p w:rsidR="005C6636" w:rsidRPr="002E7471" w:rsidRDefault="005C6636" w:rsidP="005C6636">
      <w:pPr>
        <w:pStyle w:val="ListParagraph"/>
        <w:keepNext/>
        <w:keepLines/>
        <w:numPr>
          <w:ilvl w:val="0"/>
          <w:numId w:val="14"/>
        </w:numPr>
        <w:spacing w:before="140"/>
        <w:outlineLvl w:val="1"/>
        <w:rPr>
          <w:rFonts w:ascii="Arial" w:hAnsi="Arial" w:cs="Arial"/>
          <w:b/>
          <w:bCs/>
        </w:rPr>
      </w:pPr>
      <w:r w:rsidRPr="002E7471">
        <w:rPr>
          <w:rFonts w:ascii="Arial" w:hAnsi="Arial" w:cs="Arial"/>
          <w:b/>
          <w:bCs/>
          <w:color w:val="000000"/>
        </w:rPr>
        <w:t>T</w:t>
      </w:r>
      <w:r w:rsidRPr="002E7471">
        <w:rPr>
          <w:rFonts w:ascii="Arial" w:hAnsi="Arial" w:cs="Arial"/>
          <w:b/>
          <w:bCs/>
        </w:rPr>
        <w:t>his is an emergency</w:t>
      </w:r>
    </w:p>
    <w:p w:rsidR="005C6636" w:rsidRPr="005C6636" w:rsidRDefault="005C6636" w:rsidP="005C6636">
      <w:pPr>
        <w:numPr>
          <w:ilvl w:val="0"/>
          <w:numId w:val="14"/>
        </w:numPr>
        <w:spacing w:after="60" w:line="240" w:lineRule="auto"/>
        <w:rPr>
          <w:rFonts w:eastAsia="Times New Roman" w:cs="Arial"/>
          <w:bCs/>
          <w:color w:val="auto"/>
          <w:sz w:val="24"/>
          <w:szCs w:val="24"/>
        </w:rPr>
      </w:pPr>
      <w:r>
        <w:rPr>
          <w:rFonts w:eastAsia="Times New Roman" w:cs="Arial"/>
          <w:bCs/>
          <w:color w:val="auto"/>
          <w:sz w:val="24"/>
          <w:szCs w:val="24"/>
        </w:rPr>
        <w:t>S</w:t>
      </w:r>
      <w:r w:rsidRPr="005C6636">
        <w:rPr>
          <w:rFonts w:eastAsia="Times New Roman" w:cs="Arial"/>
          <w:bCs/>
          <w:color w:val="auto"/>
          <w:sz w:val="24"/>
          <w:szCs w:val="24"/>
        </w:rPr>
        <w:t>top infusion</w:t>
      </w:r>
    </w:p>
    <w:p w:rsidR="005C6636" w:rsidRPr="005C6636" w:rsidRDefault="005C6636" w:rsidP="005C6636">
      <w:pPr>
        <w:numPr>
          <w:ilvl w:val="0"/>
          <w:numId w:val="14"/>
        </w:numPr>
        <w:spacing w:after="60" w:line="240" w:lineRule="auto"/>
        <w:rPr>
          <w:rFonts w:eastAsia="Times New Roman" w:cs="Arial"/>
          <w:bCs/>
          <w:color w:val="auto"/>
          <w:sz w:val="24"/>
          <w:szCs w:val="24"/>
        </w:rPr>
      </w:pPr>
      <w:r>
        <w:rPr>
          <w:rFonts w:eastAsia="Times New Roman" w:cs="Arial"/>
          <w:bCs/>
          <w:color w:val="auto"/>
          <w:sz w:val="24"/>
          <w:szCs w:val="24"/>
        </w:rPr>
        <w:t>C</w:t>
      </w:r>
      <w:r w:rsidRPr="005C6636">
        <w:rPr>
          <w:rFonts w:eastAsia="Times New Roman" w:cs="Arial"/>
          <w:bCs/>
          <w:color w:val="auto"/>
          <w:sz w:val="24"/>
          <w:szCs w:val="24"/>
        </w:rPr>
        <w:t xml:space="preserve">all for help </w:t>
      </w:r>
    </w:p>
    <w:p w:rsidR="005C6636" w:rsidRPr="005C6636" w:rsidRDefault="005C6636" w:rsidP="005C6636">
      <w:pPr>
        <w:numPr>
          <w:ilvl w:val="0"/>
          <w:numId w:val="14"/>
        </w:numPr>
        <w:spacing w:after="60" w:line="240" w:lineRule="auto"/>
        <w:rPr>
          <w:rFonts w:eastAsia="Times New Roman" w:cs="Arial"/>
          <w:bCs/>
          <w:color w:val="auto"/>
          <w:sz w:val="24"/>
          <w:szCs w:val="24"/>
        </w:rPr>
      </w:pPr>
      <w:r>
        <w:rPr>
          <w:rFonts w:eastAsia="Times New Roman" w:cs="Arial"/>
          <w:bCs/>
          <w:color w:val="auto"/>
          <w:sz w:val="24"/>
          <w:szCs w:val="24"/>
        </w:rPr>
        <w:t>G</w:t>
      </w:r>
      <w:r w:rsidRPr="005C6636">
        <w:rPr>
          <w:rFonts w:eastAsia="Times New Roman" w:cs="Arial"/>
          <w:bCs/>
          <w:color w:val="auto"/>
          <w:sz w:val="24"/>
          <w:szCs w:val="24"/>
        </w:rPr>
        <w:t xml:space="preserve">et </w:t>
      </w:r>
      <w:r w:rsidR="004A5B31">
        <w:rPr>
          <w:rFonts w:eastAsia="Times New Roman" w:cs="Arial"/>
          <w:bCs/>
          <w:color w:val="auto"/>
          <w:sz w:val="24"/>
          <w:szCs w:val="24"/>
        </w:rPr>
        <w:t xml:space="preserve">adrenaline 1:1000 injection </w:t>
      </w:r>
    </w:p>
    <w:p w:rsidR="005C6636" w:rsidRPr="005C6636" w:rsidRDefault="005C6636" w:rsidP="005C6636">
      <w:pPr>
        <w:numPr>
          <w:ilvl w:val="0"/>
          <w:numId w:val="14"/>
        </w:numPr>
        <w:spacing w:after="60" w:line="240" w:lineRule="auto"/>
        <w:rPr>
          <w:rFonts w:eastAsia="Times New Roman" w:cs="Arial"/>
          <w:bCs/>
          <w:color w:val="auto"/>
          <w:sz w:val="24"/>
          <w:szCs w:val="24"/>
        </w:rPr>
      </w:pPr>
      <w:r>
        <w:rPr>
          <w:rFonts w:eastAsia="Times New Roman" w:cs="Arial"/>
          <w:bCs/>
          <w:color w:val="auto"/>
          <w:sz w:val="24"/>
          <w:szCs w:val="24"/>
        </w:rPr>
        <w:t>U</w:t>
      </w:r>
      <w:r w:rsidRPr="005C6636">
        <w:rPr>
          <w:rFonts w:eastAsia="Times New Roman" w:cs="Arial"/>
          <w:bCs/>
          <w:color w:val="auto"/>
          <w:sz w:val="24"/>
          <w:szCs w:val="24"/>
        </w:rPr>
        <w:t xml:space="preserve">se </w:t>
      </w:r>
      <w:r w:rsidR="002E7471">
        <w:rPr>
          <w:rFonts w:eastAsia="Times New Roman" w:cs="Arial"/>
          <w:bCs/>
          <w:color w:val="auto"/>
          <w:sz w:val="24"/>
          <w:szCs w:val="24"/>
        </w:rPr>
        <w:t>ABC</w:t>
      </w:r>
      <w:r w:rsidRPr="005C6636">
        <w:rPr>
          <w:rFonts w:eastAsia="Times New Roman" w:cs="Arial"/>
          <w:bCs/>
          <w:color w:val="auto"/>
          <w:sz w:val="24"/>
          <w:szCs w:val="24"/>
        </w:rPr>
        <w:t xml:space="preserve"> approach</w:t>
      </w:r>
    </w:p>
    <w:p w:rsidR="005C6636" w:rsidRDefault="005C6636" w:rsidP="005C6636">
      <w:pPr>
        <w:numPr>
          <w:ilvl w:val="0"/>
          <w:numId w:val="14"/>
        </w:numPr>
        <w:spacing w:after="60" w:line="240" w:lineRule="auto"/>
        <w:rPr>
          <w:rFonts w:eastAsia="Times New Roman" w:cs="Arial"/>
          <w:bCs/>
          <w:color w:val="auto"/>
          <w:sz w:val="24"/>
          <w:szCs w:val="24"/>
        </w:rPr>
      </w:pPr>
      <w:r>
        <w:rPr>
          <w:rFonts w:eastAsia="Times New Roman" w:cs="Arial"/>
          <w:bCs/>
          <w:color w:val="auto"/>
          <w:sz w:val="24"/>
          <w:szCs w:val="24"/>
        </w:rPr>
        <w:t>G</w:t>
      </w:r>
      <w:r w:rsidRPr="005C6636">
        <w:rPr>
          <w:rFonts w:eastAsia="Times New Roman" w:cs="Arial"/>
          <w:bCs/>
          <w:color w:val="auto"/>
          <w:sz w:val="24"/>
          <w:szCs w:val="24"/>
        </w:rPr>
        <w:t xml:space="preserve">ive 0.5ml of 1:1000 adrenaline </w:t>
      </w:r>
      <w:r>
        <w:rPr>
          <w:rFonts w:eastAsia="Times New Roman" w:cs="Arial"/>
          <w:bCs/>
          <w:color w:val="auto"/>
          <w:sz w:val="24"/>
          <w:szCs w:val="24"/>
        </w:rPr>
        <w:t>IM</w:t>
      </w:r>
    </w:p>
    <w:p w:rsidR="002E7471" w:rsidRPr="005C6636" w:rsidRDefault="002E7471" w:rsidP="002E7471">
      <w:pPr>
        <w:spacing w:after="60" w:line="240" w:lineRule="auto"/>
        <w:ind w:left="360"/>
        <w:rPr>
          <w:rFonts w:eastAsia="Times New Roman" w:cs="Arial"/>
          <w:bCs/>
          <w:color w:val="auto"/>
          <w:sz w:val="24"/>
          <w:szCs w:val="24"/>
        </w:rPr>
      </w:pPr>
    </w:p>
    <w:p w:rsidR="00DC1190" w:rsidRDefault="00DC1190" w:rsidP="00674E5B">
      <w:pPr>
        <w:pStyle w:val="Default"/>
        <w:jc w:val="both"/>
      </w:pPr>
      <w:r w:rsidRPr="00DC1190">
        <w:t xml:space="preserve">In the event of the patient suffering an adverse drug reaction, treatment should be stopped immediately and appropriate management initiated. The F2/GP and the nurse in charge must be informed as soon as possible after the patient’s needs have been addressed. The incident must be recorded in the patient record indicating the actions taken, highlighting the medication which prompted the adverse reaction. It should be reported on Datix in accordance with the Trusts Incident reporting policy. A Medicines and Healthcare products Regulatory Agency (MHRA) ‘Yellowcard’ should be completed, details are found in the British National Formulary (BNF) and online at: </w:t>
      </w:r>
      <w:hyperlink r:id="rId18" w:history="1">
        <w:r w:rsidR="00674E5B" w:rsidRPr="0079200A">
          <w:rPr>
            <w:rStyle w:val="Hyperlink"/>
          </w:rPr>
          <w:t>https://yellowcard.mhra.gov.uk/</w:t>
        </w:r>
      </w:hyperlink>
    </w:p>
    <w:p w:rsidR="00674E5B" w:rsidRDefault="00674E5B" w:rsidP="00674E5B">
      <w:pPr>
        <w:pStyle w:val="Default"/>
        <w:jc w:val="both"/>
      </w:pPr>
    </w:p>
    <w:p w:rsidR="00674E5B" w:rsidRPr="00674E5B" w:rsidRDefault="00674E5B" w:rsidP="00674E5B">
      <w:pPr>
        <w:pStyle w:val="Default"/>
        <w:rPr>
          <w:b/>
        </w:rPr>
      </w:pPr>
      <w:r w:rsidRPr="00674E5B">
        <w:rPr>
          <w:b/>
        </w:rPr>
        <w:t>Follow up</w:t>
      </w:r>
    </w:p>
    <w:p w:rsidR="000F1298" w:rsidRDefault="00674E5B" w:rsidP="004A5900">
      <w:pPr>
        <w:pStyle w:val="Default"/>
      </w:pPr>
      <w:r w:rsidRPr="00674E5B">
        <w:t xml:space="preserve">GPs should repeat full blood count, ferritin and MCV </w:t>
      </w:r>
      <w:r w:rsidR="00224053" w:rsidRPr="00224053">
        <w:t xml:space="preserve">at </w:t>
      </w:r>
      <w:r w:rsidR="008B2C09" w:rsidRPr="006C1FE6">
        <w:t>6</w:t>
      </w:r>
      <w:r w:rsidR="008B2C09" w:rsidRPr="00224053">
        <w:t xml:space="preserve"> </w:t>
      </w:r>
      <w:r w:rsidRPr="00224053">
        <w:t>weeks</w:t>
      </w:r>
      <w:r w:rsidRPr="00674E5B">
        <w:t xml:space="preserve"> post transfusion to review the efficacy of the iron transfusion. </w:t>
      </w:r>
    </w:p>
    <w:p w:rsidR="000F1298" w:rsidRDefault="000F1298" w:rsidP="004B14C6">
      <w:pPr>
        <w:pStyle w:val="Heading1"/>
        <w:rPr>
          <w:sz w:val="24"/>
          <w:szCs w:val="24"/>
        </w:rPr>
      </w:pPr>
      <w:bookmarkStart w:id="4" w:name="_Toc317778030"/>
    </w:p>
    <w:p w:rsidR="00D822CC" w:rsidRPr="00415889" w:rsidRDefault="00AB68D7" w:rsidP="004B14C6">
      <w:pPr>
        <w:pStyle w:val="Heading1"/>
        <w:rPr>
          <w:sz w:val="24"/>
          <w:szCs w:val="24"/>
        </w:rPr>
      </w:pPr>
      <w:r>
        <w:rPr>
          <w:sz w:val="24"/>
          <w:szCs w:val="24"/>
        </w:rPr>
        <w:t>3</w:t>
      </w:r>
      <w:r w:rsidR="00D822CC" w:rsidRPr="00415889">
        <w:rPr>
          <w:sz w:val="24"/>
          <w:szCs w:val="24"/>
        </w:rPr>
        <w:t>.</w:t>
      </w:r>
      <w:r w:rsidR="00D822CC" w:rsidRPr="00415889">
        <w:rPr>
          <w:sz w:val="24"/>
          <w:szCs w:val="24"/>
        </w:rPr>
        <w:tab/>
        <w:t xml:space="preserve">MONITORING COMPLIANCE WITH THIS GUIDELINE </w:t>
      </w:r>
    </w:p>
    <w:p w:rsidR="00D822CC" w:rsidRDefault="006F4AA6" w:rsidP="004B14C6">
      <w:pPr>
        <w:rPr>
          <w:sz w:val="24"/>
          <w:szCs w:val="24"/>
        </w:rPr>
      </w:pPr>
      <w:r>
        <w:rPr>
          <w:sz w:val="24"/>
          <w:szCs w:val="24"/>
        </w:rPr>
        <w:t xml:space="preserve">Iron infusions carried out in Community Hospital will be audited </w:t>
      </w:r>
      <w:r w:rsidR="00C35D19">
        <w:rPr>
          <w:sz w:val="24"/>
          <w:szCs w:val="24"/>
        </w:rPr>
        <w:t>annually</w:t>
      </w:r>
      <w:r>
        <w:rPr>
          <w:sz w:val="24"/>
          <w:szCs w:val="24"/>
        </w:rPr>
        <w:t>. Results will be shared with General Practice, Community Hospital staff and the Hospital Transfusion Team</w:t>
      </w:r>
    </w:p>
    <w:p w:rsidR="00C51914" w:rsidRDefault="00C51914" w:rsidP="004B14C6">
      <w:pPr>
        <w:rPr>
          <w:sz w:val="24"/>
          <w:szCs w:val="24"/>
        </w:rPr>
      </w:pPr>
    </w:p>
    <w:p w:rsidR="004A5900" w:rsidRDefault="004A5900" w:rsidP="004B14C6">
      <w:pPr>
        <w:rPr>
          <w:sz w:val="24"/>
          <w:szCs w:val="24"/>
        </w:rPr>
      </w:pPr>
    </w:p>
    <w:p w:rsidR="004A5900" w:rsidRPr="00415889" w:rsidRDefault="004A5900" w:rsidP="004B14C6">
      <w:pPr>
        <w:rPr>
          <w:sz w:val="24"/>
          <w:szCs w:val="24"/>
        </w:rPr>
      </w:pPr>
    </w:p>
    <w:p w:rsidR="00D822CC" w:rsidRPr="00415889" w:rsidRDefault="00AB68D7" w:rsidP="00674E5B">
      <w:pPr>
        <w:pStyle w:val="Heading1"/>
        <w:ind w:left="709" w:hanging="709"/>
        <w:rPr>
          <w:sz w:val="24"/>
          <w:szCs w:val="24"/>
        </w:rPr>
      </w:pPr>
      <w:r>
        <w:rPr>
          <w:sz w:val="24"/>
          <w:szCs w:val="24"/>
        </w:rPr>
        <w:t>4</w:t>
      </w:r>
      <w:r w:rsidR="00D822CC" w:rsidRPr="00415889">
        <w:rPr>
          <w:sz w:val="24"/>
          <w:szCs w:val="24"/>
        </w:rPr>
        <w:t>.</w:t>
      </w:r>
      <w:r w:rsidR="00D822CC" w:rsidRPr="00415889">
        <w:rPr>
          <w:sz w:val="24"/>
          <w:szCs w:val="24"/>
        </w:rPr>
        <w:tab/>
        <w:t>ASSOCIATED CLINICAL GUIDELINES</w:t>
      </w:r>
      <w:r w:rsidR="00674E5B">
        <w:rPr>
          <w:sz w:val="24"/>
          <w:szCs w:val="24"/>
        </w:rPr>
        <w:t>/</w:t>
      </w:r>
      <w:r w:rsidR="00D822CC" w:rsidRPr="00415889">
        <w:rPr>
          <w:sz w:val="24"/>
          <w:szCs w:val="24"/>
        </w:rPr>
        <w:t xml:space="preserve"> POLICIES</w:t>
      </w:r>
      <w:bookmarkEnd w:id="4"/>
      <w:r w:rsidR="00B455FF" w:rsidRPr="00415889">
        <w:rPr>
          <w:sz w:val="24"/>
          <w:szCs w:val="24"/>
        </w:rPr>
        <w:t>/</w:t>
      </w:r>
      <w:r w:rsidR="00674E5B">
        <w:rPr>
          <w:sz w:val="24"/>
          <w:szCs w:val="24"/>
        </w:rPr>
        <w:t xml:space="preserve"> </w:t>
      </w:r>
      <w:r w:rsidR="00B455FF" w:rsidRPr="00415889">
        <w:rPr>
          <w:sz w:val="24"/>
          <w:szCs w:val="24"/>
        </w:rPr>
        <w:t>PROCEDURES</w:t>
      </w:r>
      <w:r w:rsidR="00674E5B">
        <w:rPr>
          <w:sz w:val="24"/>
          <w:szCs w:val="24"/>
        </w:rPr>
        <w:t xml:space="preserve">/ REFERENCES </w:t>
      </w:r>
      <w:r w:rsidR="00D822CC" w:rsidRPr="00415889">
        <w:rPr>
          <w:sz w:val="24"/>
          <w:szCs w:val="24"/>
        </w:rPr>
        <w:t xml:space="preserve"> </w:t>
      </w:r>
    </w:p>
    <w:p w:rsidR="009E4C92" w:rsidRPr="009E4C92" w:rsidRDefault="00424E0D" w:rsidP="00096426">
      <w:pPr>
        <w:spacing w:after="160" w:line="240" w:lineRule="auto"/>
        <w:rPr>
          <w:sz w:val="24"/>
          <w:szCs w:val="24"/>
        </w:rPr>
      </w:pPr>
      <w:hyperlink r:id="rId19" w:history="1">
        <w:r w:rsidR="009E4C92" w:rsidRPr="009E4C92">
          <w:rPr>
            <w:rStyle w:val="Hyperlink"/>
            <w:sz w:val="24"/>
            <w:szCs w:val="24"/>
          </w:rPr>
          <w:t>https://hub.exe.nhs.uk/search/?q=medusa</w:t>
        </w:r>
      </w:hyperlink>
    </w:p>
    <w:p w:rsidR="00096426" w:rsidRDefault="00096426" w:rsidP="00096426">
      <w:pPr>
        <w:spacing w:after="160" w:line="240" w:lineRule="auto"/>
        <w:jc w:val="both"/>
        <w:rPr>
          <w:rFonts w:cs="Arial"/>
          <w:sz w:val="24"/>
          <w:szCs w:val="24"/>
        </w:rPr>
      </w:pPr>
      <w:r w:rsidRPr="00674E5B">
        <w:rPr>
          <w:rFonts w:cs="Arial"/>
          <w:sz w:val="24"/>
          <w:szCs w:val="24"/>
        </w:rPr>
        <w:t xml:space="preserve">MHRA Drug Safety Update. Volume 6; Issue 1 August 2013. Intravenous iron and serious hypersensitivity reactions; new strengthened recommendations to manage and minimise risk. </w:t>
      </w:r>
    </w:p>
    <w:p w:rsidR="00096426" w:rsidRDefault="00096426" w:rsidP="00096426">
      <w:pPr>
        <w:spacing w:after="160" w:line="240" w:lineRule="auto"/>
        <w:jc w:val="both"/>
        <w:rPr>
          <w:rStyle w:val="Hyperlink"/>
          <w:rFonts w:cs="Arial"/>
          <w:sz w:val="24"/>
          <w:szCs w:val="24"/>
        </w:rPr>
      </w:pPr>
      <w:r w:rsidRPr="00674E5B">
        <w:rPr>
          <w:rFonts w:cs="Arial"/>
          <w:sz w:val="24"/>
          <w:szCs w:val="24"/>
        </w:rPr>
        <w:t>National Institute for Health and Care Excellence Blood transfusion Guidelines (Nov 2015)</w:t>
      </w:r>
    </w:p>
    <w:p w:rsidR="00096426" w:rsidRPr="00674E5B" w:rsidRDefault="00096426" w:rsidP="00096426">
      <w:pPr>
        <w:spacing w:after="160" w:line="240" w:lineRule="auto"/>
        <w:jc w:val="both"/>
        <w:rPr>
          <w:rFonts w:cs="Arial"/>
          <w:sz w:val="24"/>
          <w:szCs w:val="24"/>
        </w:rPr>
      </w:pPr>
      <w:r w:rsidRPr="00674E5B">
        <w:rPr>
          <w:rFonts w:cs="Arial"/>
          <w:sz w:val="24"/>
          <w:szCs w:val="24"/>
        </w:rPr>
        <w:t>RCN Iron Deficiency and Anaemia in Adults (June 2015)   RCN guidance for nursing staff</w:t>
      </w:r>
    </w:p>
    <w:p w:rsidR="00096426" w:rsidRPr="006C1FE6" w:rsidRDefault="00096426" w:rsidP="00096426">
      <w:pPr>
        <w:spacing w:after="80" w:line="240" w:lineRule="auto"/>
        <w:ind w:left="720" w:hanging="720"/>
        <w:rPr>
          <w:rFonts w:eastAsia="Times New Roman" w:cs="Arial"/>
          <w:color w:val="auto"/>
          <w:sz w:val="24"/>
          <w:szCs w:val="24"/>
        </w:rPr>
      </w:pPr>
      <w:r w:rsidRPr="006C1FE6">
        <w:rPr>
          <w:rFonts w:eastAsia="Times New Roman" w:cs="Arial"/>
          <w:color w:val="auto"/>
          <w:sz w:val="24"/>
          <w:szCs w:val="24"/>
        </w:rPr>
        <w:t xml:space="preserve">Resuscitation Council (UK) </w:t>
      </w:r>
      <w:hyperlink r:id="rId20" w:history="1">
        <w:r w:rsidRPr="006C1FE6">
          <w:rPr>
            <w:rFonts w:eastAsia="Times New Roman" w:cs="Arial"/>
            <w:color w:val="0000FF"/>
            <w:sz w:val="24"/>
            <w:szCs w:val="24"/>
            <w:u w:val="single"/>
          </w:rPr>
          <w:t>www.resus.org.uk</w:t>
        </w:r>
      </w:hyperlink>
    </w:p>
    <w:p w:rsidR="004A5B31" w:rsidRPr="0025724F" w:rsidRDefault="004A5B31" w:rsidP="00674E5B">
      <w:pPr>
        <w:spacing w:after="160" w:line="240" w:lineRule="auto"/>
        <w:rPr>
          <w:rStyle w:val="Hyperlink"/>
          <w:rFonts w:cs="Arial"/>
          <w:color w:val="000000" w:themeColor="text1"/>
          <w:sz w:val="24"/>
          <w:szCs w:val="24"/>
          <w:u w:val="none"/>
        </w:rPr>
      </w:pPr>
      <w:r w:rsidRPr="0025724F">
        <w:rPr>
          <w:rStyle w:val="Hyperlink"/>
          <w:rFonts w:cs="Arial"/>
          <w:color w:val="000000" w:themeColor="text1"/>
          <w:sz w:val="24"/>
          <w:szCs w:val="24"/>
          <w:u w:val="none"/>
        </w:rPr>
        <w:t>University College London Hospitals Injectable Medicines Guide at:</w:t>
      </w:r>
    </w:p>
    <w:p w:rsidR="004A5B31" w:rsidRDefault="00424E0D" w:rsidP="00674E5B">
      <w:pPr>
        <w:spacing w:after="160" w:line="240" w:lineRule="auto"/>
        <w:rPr>
          <w:rStyle w:val="Hyperlink"/>
          <w:rFonts w:cs="Arial"/>
          <w:sz w:val="24"/>
          <w:szCs w:val="24"/>
        </w:rPr>
      </w:pPr>
      <w:hyperlink r:id="rId21" w:history="1">
        <w:r w:rsidR="004A5B31" w:rsidRPr="004A5B31">
          <w:rPr>
            <w:rStyle w:val="Hyperlink"/>
            <w:rFonts w:cs="Arial"/>
            <w:sz w:val="24"/>
            <w:szCs w:val="24"/>
          </w:rPr>
          <w:t>UCL Hospitals Injectable Medicines Administration Guide Online: Home</w:t>
        </w:r>
      </w:hyperlink>
    </w:p>
    <w:p w:rsidR="004B14C6" w:rsidRDefault="00AB68D7" w:rsidP="00415889">
      <w:pPr>
        <w:pStyle w:val="Heading1"/>
        <w:rPr>
          <w:sz w:val="24"/>
          <w:szCs w:val="24"/>
        </w:rPr>
      </w:pPr>
      <w:bookmarkStart w:id="5" w:name="_Toc317778031"/>
      <w:r>
        <w:rPr>
          <w:sz w:val="24"/>
          <w:szCs w:val="24"/>
        </w:rPr>
        <w:t>5</w:t>
      </w:r>
      <w:r w:rsidR="00D822CC" w:rsidRPr="00415889">
        <w:rPr>
          <w:sz w:val="24"/>
          <w:szCs w:val="24"/>
        </w:rPr>
        <w:t>.</w:t>
      </w:r>
      <w:r w:rsidR="00D822CC" w:rsidRPr="00415889">
        <w:rPr>
          <w:sz w:val="24"/>
          <w:szCs w:val="24"/>
        </w:rPr>
        <w:tab/>
        <w:t>PUBLICATION DETAILS</w:t>
      </w:r>
      <w:bookmarkEnd w:id="5"/>
      <w:r w:rsidR="00D822CC" w:rsidRPr="00415889">
        <w:rPr>
          <w:sz w:val="24"/>
          <w:szCs w:val="24"/>
        </w:rPr>
        <w:t xml:space="preserve"> </w:t>
      </w:r>
    </w:p>
    <w:p w:rsidR="00415889" w:rsidRPr="00415889" w:rsidRDefault="00415889" w:rsidP="00415889"/>
    <w:tbl>
      <w:tblPr>
        <w:tblStyle w:val="TableGrid1"/>
        <w:tblW w:w="0" w:type="auto"/>
        <w:tblBorders>
          <w:insideH w:val="dotted" w:sz="4" w:space="0" w:color="auto"/>
          <w:insideV w:val="dotted" w:sz="4" w:space="0" w:color="auto"/>
        </w:tblBorders>
        <w:tblLook w:val="04A0" w:firstRow="1" w:lastRow="0" w:firstColumn="1" w:lastColumn="0" w:noHBand="0" w:noVBand="1"/>
      </w:tblPr>
      <w:tblGrid>
        <w:gridCol w:w="4621"/>
        <w:gridCol w:w="5126"/>
      </w:tblGrid>
      <w:tr w:rsidR="00D822CC" w:rsidRPr="00D822CC" w:rsidTr="000F1298">
        <w:trPr>
          <w:trHeight w:val="470"/>
        </w:trPr>
        <w:tc>
          <w:tcPr>
            <w:tcW w:w="4621" w:type="dxa"/>
            <w:shd w:val="clear" w:color="auto" w:fill="FFFFFF" w:themeFill="background1"/>
            <w:vAlign w:val="center"/>
          </w:tcPr>
          <w:p w:rsidR="00D822CC" w:rsidRPr="00415889" w:rsidRDefault="00D822CC" w:rsidP="00D822CC">
            <w:pPr>
              <w:contextualSpacing/>
              <w:rPr>
                <w:rFonts w:eastAsia="Times New Roman" w:cs="Arial"/>
                <w:b/>
                <w:sz w:val="24"/>
                <w:szCs w:val="24"/>
              </w:rPr>
            </w:pPr>
            <w:r w:rsidRPr="00415889">
              <w:rPr>
                <w:rFonts w:eastAsia="Times New Roman" w:cs="Arial"/>
                <w:b/>
                <w:sz w:val="24"/>
                <w:szCs w:val="24"/>
              </w:rPr>
              <w:t>Author of Clinical Guideline</w:t>
            </w:r>
          </w:p>
        </w:tc>
        <w:tc>
          <w:tcPr>
            <w:tcW w:w="5126" w:type="dxa"/>
            <w:shd w:val="clear" w:color="auto" w:fill="FFFFFF" w:themeFill="background1"/>
            <w:vAlign w:val="center"/>
          </w:tcPr>
          <w:p w:rsidR="005218AE" w:rsidRDefault="005218AE" w:rsidP="00D822CC">
            <w:pPr>
              <w:keepNext/>
              <w:contextualSpacing/>
              <w:outlineLvl w:val="6"/>
              <w:rPr>
                <w:rFonts w:eastAsia="Times New Roman" w:cs="Arial"/>
                <w:bCs/>
                <w:i/>
                <w:sz w:val="24"/>
                <w:szCs w:val="24"/>
              </w:rPr>
            </w:pPr>
          </w:p>
          <w:p w:rsidR="0094431E" w:rsidRDefault="00674E5B" w:rsidP="00D822CC">
            <w:pPr>
              <w:keepNext/>
              <w:contextualSpacing/>
              <w:outlineLvl w:val="6"/>
              <w:rPr>
                <w:rFonts w:eastAsia="Times New Roman" w:cs="Arial"/>
                <w:bCs/>
                <w:i/>
                <w:sz w:val="24"/>
                <w:szCs w:val="24"/>
              </w:rPr>
            </w:pPr>
            <w:r>
              <w:rPr>
                <w:rFonts w:eastAsia="Times New Roman" w:cs="Arial"/>
                <w:bCs/>
                <w:i/>
                <w:sz w:val="24"/>
                <w:szCs w:val="24"/>
              </w:rPr>
              <w:t>Julie Mitchell Transfusion Practitioner</w:t>
            </w:r>
            <w:r w:rsidR="0094431E">
              <w:rPr>
                <w:rFonts w:eastAsia="Times New Roman" w:cs="Arial"/>
                <w:bCs/>
                <w:i/>
                <w:sz w:val="24"/>
                <w:szCs w:val="24"/>
              </w:rPr>
              <w:t>.</w:t>
            </w:r>
          </w:p>
          <w:p w:rsidR="00D822CC" w:rsidRDefault="0094431E" w:rsidP="00D822CC">
            <w:pPr>
              <w:keepNext/>
              <w:contextualSpacing/>
              <w:outlineLvl w:val="6"/>
              <w:rPr>
                <w:rFonts w:eastAsia="Times New Roman" w:cs="Arial"/>
                <w:bCs/>
                <w:i/>
                <w:sz w:val="24"/>
                <w:szCs w:val="24"/>
              </w:rPr>
            </w:pPr>
            <w:r>
              <w:rPr>
                <w:rFonts w:eastAsia="Times New Roman" w:cs="Arial"/>
                <w:bCs/>
                <w:i/>
                <w:sz w:val="24"/>
                <w:szCs w:val="24"/>
              </w:rPr>
              <w:t xml:space="preserve">Barrie Ferguson </w:t>
            </w:r>
            <w:r w:rsidR="00674E5B">
              <w:rPr>
                <w:rFonts w:eastAsia="Times New Roman" w:cs="Arial"/>
                <w:bCs/>
                <w:i/>
                <w:sz w:val="24"/>
                <w:szCs w:val="24"/>
              </w:rPr>
              <w:t xml:space="preserve"> </w:t>
            </w:r>
            <w:r w:rsidRPr="0094431E">
              <w:rPr>
                <w:rFonts w:eastAsia="Times New Roman" w:cs="Arial"/>
                <w:bCs/>
                <w:i/>
                <w:sz w:val="24"/>
                <w:szCs w:val="24"/>
              </w:rPr>
              <w:t>Patient Blood Manager</w:t>
            </w:r>
          </w:p>
          <w:p w:rsidR="0094431E" w:rsidRPr="00331633" w:rsidRDefault="0094431E" w:rsidP="00D822CC">
            <w:pPr>
              <w:keepNext/>
              <w:contextualSpacing/>
              <w:outlineLvl w:val="6"/>
              <w:rPr>
                <w:rFonts w:eastAsia="Times New Roman" w:cs="Arial"/>
                <w:bCs/>
                <w:i/>
                <w:sz w:val="24"/>
                <w:szCs w:val="24"/>
              </w:rPr>
            </w:pPr>
          </w:p>
        </w:tc>
      </w:tr>
      <w:tr w:rsidR="00D822CC" w:rsidRPr="00D822CC" w:rsidTr="000F1298">
        <w:trPr>
          <w:trHeight w:val="690"/>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Division/ Department responsible for Clinical Guideline</w:t>
            </w:r>
          </w:p>
        </w:tc>
        <w:tc>
          <w:tcPr>
            <w:tcW w:w="5126" w:type="dxa"/>
            <w:shd w:val="clear" w:color="auto" w:fill="FFFFFF" w:themeFill="background1"/>
            <w:vAlign w:val="center"/>
          </w:tcPr>
          <w:p w:rsidR="00D822CC" w:rsidRPr="00331633" w:rsidRDefault="006F4AA6" w:rsidP="0094431E">
            <w:pPr>
              <w:rPr>
                <w:rFonts w:eastAsia="Times New Roman" w:cs="Arial"/>
                <w:bCs/>
                <w:i/>
                <w:sz w:val="24"/>
                <w:szCs w:val="24"/>
              </w:rPr>
            </w:pPr>
            <w:r>
              <w:rPr>
                <w:rFonts w:eastAsia="Times New Roman" w:cs="Arial"/>
                <w:bCs/>
                <w:i/>
                <w:color w:val="auto"/>
                <w:sz w:val="24"/>
                <w:szCs w:val="24"/>
              </w:rPr>
              <w:t>Blood Transfusion</w:t>
            </w:r>
          </w:p>
        </w:tc>
      </w:tr>
      <w:tr w:rsidR="00D822CC" w:rsidRPr="00D822CC" w:rsidTr="000F1298">
        <w:trPr>
          <w:trHeight w:val="416"/>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Contact details</w:t>
            </w:r>
          </w:p>
        </w:tc>
        <w:tc>
          <w:tcPr>
            <w:tcW w:w="5126" w:type="dxa"/>
            <w:shd w:val="clear" w:color="auto" w:fill="FFFFFF" w:themeFill="background1"/>
            <w:vAlign w:val="center"/>
          </w:tcPr>
          <w:p w:rsidR="00D822CC" w:rsidRPr="00331633" w:rsidRDefault="001B2E26" w:rsidP="001B2E26">
            <w:pPr>
              <w:rPr>
                <w:rFonts w:eastAsia="Times New Roman" w:cs="Arial"/>
                <w:bCs/>
                <w:i/>
                <w:sz w:val="24"/>
                <w:szCs w:val="24"/>
              </w:rPr>
            </w:pPr>
            <w:r w:rsidRPr="001B2E26">
              <w:rPr>
                <w:rFonts w:eastAsia="Times New Roman" w:cs="Arial"/>
                <w:bCs/>
                <w:i/>
                <w:color w:val="auto"/>
                <w:sz w:val="24"/>
                <w:szCs w:val="24"/>
              </w:rPr>
              <w:t>Email juliemitchell10@nhs.net</w:t>
            </w:r>
          </w:p>
        </w:tc>
      </w:tr>
      <w:tr w:rsidR="00D822CC" w:rsidRPr="00D822CC" w:rsidTr="000F1298">
        <w:trPr>
          <w:trHeight w:val="416"/>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Version number</w:t>
            </w:r>
          </w:p>
        </w:tc>
        <w:tc>
          <w:tcPr>
            <w:tcW w:w="5126" w:type="dxa"/>
            <w:shd w:val="clear" w:color="auto" w:fill="FFFFFF" w:themeFill="background1"/>
            <w:vAlign w:val="center"/>
          </w:tcPr>
          <w:p w:rsidR="00D822CC" w:rsidRPr="00415889" w:rsidRDefault="00D02072" w:rsidP="00D02072">
            <w:pPr>
              <w:rPr>
                <w:rFonts w:eastAsia="Times New Roman" w:cs="Arial"/>
                <w:bCs/>
                <w:sz w:val="24"/>
                <w:szCs w:val="24"/>
              </w:rPr>
            </w:pPr>
            <w:r>
              <w:rPr>
                <w:rFonts w:eastAsia="Times New Roman" w:cs="Arial"/>
                <w:bCs/>
                <w:sz w:val="24"/>
                <w:szCs w:val="24"/>
              </w:rPr>
              <w:t>3</w:t>
            </w:r>
          </w:p>
        </w:tc>
      </w:tr>
      <w:tr w:rsidR="00D822CC" w:rsidRPr="00D822CC" w:rsidTr="000F1298">
        <w:trPr>
          <w:trHeight w:val="416"/>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Replaces version number</w:t>
            </w:r>
          </w:p>
        </w:tc>
        <w:tc>
          <w:tcPr>
            <w:tcW w:w="5126" w:type="dxa"/>
            <w:shd w:val="clear" w:color="auto" w:fill="FFFFFF" w:themeFill="background1"/>
            <w:vAlign w:val="center"/>
          </w:tcPr>
          <w:p w:rsidR="00D822CC" w:rsidRPr="00415889" w:rsidRDefault="0094431E" w:rsidP="0094431E">
            <w:pPr>
              <w:rPr>
                <w:rFonts w:eastAsia="Times New Roman" w:cs="Arial"/>
                <w:bCs/>
                <w:sz w:val="24"/>
                <w:szCs w:val="24"/>
              </w:rPr>
            </w:pPr>
            <w:r>
              <w:rPr>
                <w:rFonts w:eastAsia="Times New Roman" w:cs="Arial"/>
                <w:bCs/>
                <w:sz w:val="24"/>
                <w:szCs w:val="24"/>
              </w:rPr>
              <w:t>N/A</w:t>
            </w:r>
          </w:p>
        </w:tc>
      </w:tr>
      <w:tr w:rsidR="00D822CC" w:rsidRPr="00D822CC" w:rsidTr="000F1298">
        <w:trPr>
          <w:trHeight w:val="422"/>
        </w:trPr>
        <w:tc>
          <w:tcPr>
            <w:tcW w:w="4621" w:type="dxa"/>
            <w:shd w:val="clear" w:color="auto" w:fill="FFFFFF" w:themeFill="background1"/>
            <w:vAlign w:val="center"/>
          </w:tcPr>
          <w:p w:rsidR="00D822CC" w:rsidRPr="0094431E" w:rsidRDefault="00D822CC" w:rsidP="00D822CC">
            <w:pPr>
              <w:rPr>
                <w:rFonts w:eastAsia="Times New Roman" w:cs="Arial"/>
                <w:b/>
                <w:color w:val="auto"/>
                <w:sz w:val="24"/>
                <w:szCs w:val="24"/>
              </w:rPr>
            </w:pPr>
            <w:r w:rsidRPr="0094431E">
              <w:rPr>
                <w:rFonts w:eastAsia="Times New Roman" w:cs="Arial"/>
                <w:b/>
                <w:color w:val="auto"/>
                <w:sz w:val="24"/>
                <w:szCs w:val="24"/>
              </w:rPr>
              <w:t>Date written</w:t>
            </w:r>
          </w:p>
        </w:tc>
        <w:tc>
          <w:tcPr>
            <w:tcW w:w="5126" w:type="dxa"/>
            <w:shd w:val="clear" w:color="auto" w:fill="FFFFFF" w:themeFill="background1"/>
            <w:vAlign w:val="center"/>
          </w:tcPr>
          <w:p w:rsidR="00D822CC" w:rsidRPr="0094431E" w:rsidRDefault="0094431E" w:rsidP="00D02072">
            <w:pPr>
              <w:rPr>
                <w:rFonts w:eastAsia="Times New Roman" w:cs="Arial"/>
                <w:bCs/>
                <w:i/>
                <w:color w:val="auto"/>
                <w:sz w:val="24"/>
                <w:szCs w:val="24"/>
              </w:rPr>
            </w:pPr>
            <w:r w:rsidRPr="0094431E">
              <w:rPr>
                <w:rFonts w:eastAsia="Times New Roman" w:cs="Arial"/>
                <w:bCs/>
                <w:i/>
                <w:color w:val="auto"/>
                <w:sz w:val="24"/>
                <w:szCs w:val="24"/>
              </w:rPr>
              <w:t>2</w:t>
            </w:r>
            <w:r w:rsidR="00D822CC" w:rsidRPr="0094431E">
              <w:rPr>
                <w:rFonts w:eastAsia="Times New Roman" w:cs="Arial"/>
                <w:bCs/>
                <w:i/>
                <w:color w:val="auto"/>
                <w:sz w:val="24"/>
                <w:szCs w:val="24"/>
              </w:rPr>
              <w:t>/</w:t>
            </w:r>
            <w:r w:rsidR="00147A16">
              <w:rPr>
                <w:rFonts w:eastAsia="Times New Roman" w:cs="Arial"/>
                <w:bCs/>
                <w:i/>
                <w:color w:val="auto"/>
                <w:sz w:val="24"/>
                <w:szCs w:val="24"/>
              </w:rPr>
              <w:t>0</w:t>
            </w:r>
            <w:r w:rsidRPr="0094431E">
              <w:rPr>
                <w:rFonts w:eastAsia="Times New Roman" w:cs="Arial"/>
                <w:bCs/>
                <w:i/>
                <w:color w:val="auto"/>
                <w:sz w:val="24"/>
                <w:szCs w:val="24"/>
              </w:rPr>
              <w:t>2</w:t>
            </w:r>
            <w:r w:rsidR="00D822CC" w:rsidRPr="0094431E">
              <w:rPr>
                <w:rFonts w:eastAsia="Times New Roman" w:cs="Arial"/>
                <w:bCs/>
                <w:i/>
                <w:color w:val="auto"/>
                <w:sz w:val="24"/>
                <w:szCs w:val="24"/>
              </w:rPr>
              <w:t>/</w:t>
            </w:r>
            <w:r w:rsidRPr="0094431E">
              <w:rPr>
                <w:rFonts w:eastAsia="Times New Roman" w:cs="Arial"/>
                <w:bCs/>
                <w:i/>
                <w:color w:val="auto"/>
                <w:sz w:val="24"/>
                <w:szCs w:val="24"/>
              </w:rPr>
              <w:t>201</w:t>
            </w:r>
            <w:r w:rsidR="00147A16">
              <w:rPr>
                <w:rFonts w:eastAsia="Times New Roman" w:cs="Arial"/>
                <w:bCs/>
                <w:i/>
                <w:color w:val="auto"/>
                <w:sz w:val="24"/>
                <w:szCs w:val="24"/>
              </w:rPr>
              <w:t>7</w:t>
            </w:r>
            <w:r w:rsidR="004A5900">
              <w:rPr>
                <w:rFonts w:eastAsia="Times New Roman" w:cs="Arial"/>
                <w:bCs/>
                <w:i/>
                <w:color w:val="auto"/>
                <w:sz w:val="24"/>
                <w:szCs w:val="24"/>
              </w:rPr>
              <w:t xml:space="preserve"> updated </w:t>
            </w:r>
            <w:r w:rsidR="00D02072">
              <w:rPr>
                <w:rFonts w:eastAsia="Times New Roman" w:cs="Arial"/>
                <w:bCs/>
                <w:i/>
                <w:color w:val="auto"/>
                <w:sz w:val="24"/>
                <w:szCs w:val="24"/>
              </w:rPr>
              <w:t xml:space="preserve">Oct </w:t>
            </w:r>
            <w:r w:rsidR="004A5900">
              <w:rPr>
                <w:rFonts w:eastAsia="Times New Roman" w:cs="Arial"/>
                <w:bCs/>
                <w:i/>
                <w:color w:val="auto"/>
                <w:sz w:val="24"/>
                <w:szCs w:val="24"/>
              </w:rPr>
              <w:t>2018</w:t>
            </w:r>
          </w:p>
        </w:tc>
      </w:tr>
      <w:tr w:rsidR="00D822CC" w:rsidRPr="00D822CC" w:rsidTr="000F1298">
        <w:trPr>
          <w:trHeight w:val="415"/>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Approving body and date approved</w:t>
            </w:r>
          </w:p>
        </w:tc>
        <w:tc>
          <w:tcPr>
            <w:tcW w:w="5126" w:type="dxa"/>
            <w:shd w:val="clear" w:color="auto" w:fill="FFFFFF" w:themeFill="background1"/>
            <w:vAlign w:val="center"/>
          </w:tcPr>
          <w:p w:rsidR="005218AE" w:rsidRDefault="0094431E" w:rsidP="005218AE">
            <w:pPr>
              <w:rPr>
                <w:rFonts w:eastAsia="Times New Roman" w:cs="Arial"/>
                <w:bCs/>
                <w:i/>
                <w:color w:val="auto"/>
                <w:sz w:val="24"/>
                <w:szCs w:val="24"/>
              </w:rPr>
            </w:pPr>
            <w:r w:rsidRPr="0094431E">
              <w:rPr>
                <w:rFonts w:eastAsia="Times New Roman" w:cs="Arial"/>
                <w:bCs/>
                <w:i/>
                <w:color w:val="auto"/>
                <w:sz w:val="24"/>
                <w:szCs w:val="24"/>
              </w:rPr>
              <w:t>P</w:t>
            </w:r>
            <w:r>
              <w:rPr>
                <w:rFonts w:eastAsia="Times New Roman" w:cs="Arial"/>
                <w:bCs/>
                <w:i/>
                <w:color w:val="auto"/>
                <w:sz w:val="24"/>
                <w:szCs w:val="24"/>
              </w:rPr>
              <w:t>atient Blood Management Group</w:t>
            </w:r>
            <w:r w:rsidRPr="00331633">
              <w:rPr>
                <w:rFonts w:eastAsia="Times New Roman" w:cs="Arial"/>
                <w:bCs/>
                <w:i/>
                <w:color w:val="FF0000"/>
                <w:sz w:val="24"/>
                <w:szCs w:val="24"/>
              </w:rPr>
              <w:t xml:space="preserve"> </w:t>
            </w:r>
            <w:r w:rsidR="005218AE" w:rsidRPr="005218AE">
              <w:rPr>
                <w:rFonts w:eastAsia="Times New Roman" w:cs="Arial"/>
                <w:bCs/>
                <w:i/>
                <w:color w:val="auto"/>
                <w:sz w:val="24"/>
                <w:szCs w:val="24"/>
              </w:rPr>
              <w:t>26/01/2017</w:t>
            </w:r>
          </w:p>
          <w:p w:rsidR="00D822CC" w:rsidRDefault="0094431E" w:rsidP="00977E26">
            <w:pPr>
              <w:rPr>
                <w:rFonts w:eastAsia="Times New Roman" w:cs="Arial"/>
                <w:bCs/>
                <w:i/>
                <w:color w:val="auto"/>
                <w:sz w:val="24"/>
                <w:szCs w:val="24"/>
              </w:rPr>
            </w:pPr>
            <w:r w:rsidRPr="0094431E">
              <w:rPr>
                <w:rFonts w:eastAsia="Times New Roman" w:cs="Arial"/>
                <w:bCs/>
                <w:i/>
                <w:color w:val="auto"/>
                <w:sz w:val="24"/>
                <w:szCs w:val="24"/>
              </w:rPr>
              <w:t xml:space="preserve">Medicine  </w:t>
            </w:r>
            <w:r w:rsidR="005218AE">
              <w:rPr>
                <w:rFonts w:eastAsia="Times New Roman" w:cs="Arial"/>
                <w:bCs/>
                <w:i/>
                <w:color w:val="auto"/>
                <w:sz w:val="24"/>
                <w:szCs w:val="24"/>
              </w:rPr>
              <w:t>Management Group</w:t>
            </w:r>
            <w:r w:rsidRPr="0094431E">
              <w:rPr>
                <w:rFonts w:eastAsia="Times New Roman" w:cs="Arial"/>
                <w:bCs/>
                <w:i/>
                <w:color w:val="auto"/>
                <w:sz w:val="24"/>
                <w:szCs w:val="24"/>
              </w:rPr>
              <w:t xml:space="preserve"> </w:t>
            </w:r>
            <w:r w:rsidR="00977E26">
              <w:rPr>
                <w:rFonts w:eastAsia="Times New Roman" w:cs="Arial"/>
                <w:bCs/>
                <w:i/>
                <w:color w:val="auto"/>
                <w:sz w:val="24"/>
                <w:szCs w:val="24"/>
              </w:rPr>
              <w:t>for info 08/02/2017</w:t>
            </w:r>
          </w:p>
          <w:p w:rsidR="00977E26" w:rsidRPr="00331633" w:rsidRDefault="00977E26" w:rsidP="000D5D11">
            <w:pPr>
              <w:rPr>
                <w:rFonts w:eastAsia="Times New Roman" w:cs="Arial"/>
                <w:bCs/>
                <w:i/>
                <w:sz w:val="24"/>
                <w:szCs w:val="24"/>
              </w:rPr>
            </w:pPr>
            <w:r w:rsidRPr="000D5D11">
              <w:rPr>
                <w:rFonts w:eastAsia="Times New Roman" w:cs="Arial"/>
                <w:bCs/>
                <w:i/>
                <w:color w:val="auto"/>
                <w:sz w:val="24"/>
                <w:szCs w:val="24"/>
              </w:rPr>
              <w:t xml:space="preserve">CAG </w:t>
            </w:r>
            <w:r w:rsidR="000D5D11" w:rsidRPr="000D5D11">
              <w:rPr>
                <w:rFonts w:eastAsia="Times New Roman" w:cs="Arial"/>
                <w:bCs/>
                <w:i/>
                <w:color w:val="auto"/>
                <w:sz w:val="24"/>
                <w:szCs w:val="24"/>
              </w:rPr>
              <w:t>17/05/2017</w:t>
            </w:r>
          </w:p>
        </w:tc>
      </w:tr>
      <w:tr w:rsidR="00D822CC" w:rsidRPr="00D822CC" w:rsidTr="000F1298">
        <w:trPr>
          <w:trHeight w:val="421"/>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Review date</w:t>
            </w:r>
          </w:p>
        </w:tc>
        <w:tc>
          <w:tcPr>
            <w:tcW w:w="5126" w:type="dxa"/>
            <w:shd w:val="clear" w:color="auto" w:fill="FFFFFF" w:themeFill="background1"/>
            <w:vAlign w:val="center"/>
          </w:tcPr>
          <w:p w:rsidR="00D822CC" w:rsidRDefault="0025724F" w:rsidP="0025724F">
            <w:pPr>
              <w:rPr>
                <w:rFonts w:eastAsia="Times New Roman" w:cs="Arial"/>
                <w:bCs/>
                <w:i/>
                <w:sz w:val="24"/>
                <w:szCs w:val="24"/>
              </w:rPr>
            </w:pPr>
            <w:r w:rsidRPr="0025724F">
              <w:rPr>
                <w:rFonts w:eastAsia="Times New Roman" w:cs="Arial"/>
                <w:bCs/>
                <w:i/>
                <w:sz w:val="24"/>
                <w:szCs w:val="24"/>
              </w:rPr>
              <w:t>10</w:t>
            </w:r>
            <w:r w:rsidR="00D822CC" w:rsidRPr="0025724F">
              <w:rPr>
                <w:rFonts w:eastAsia="Times New Roman" w:cs="Arial"/>
                <w:bCs/>
                <w:i/>
                <w:sz w:val="24"/>
                <w:szCs w:val="24"/>
              </w:rPr>
              <w:t xml:space="preserve">/ </w:t>
            </w:r>
            <w:r w:rsidRPr="0025724F">
              <w:rPr>
                <w:rFonts w:eastAsia="Times New Roman" w:cs="Arial"/>
                <w:bCs/>
                <w:i/>
                <w:sz w:val="24"/>
                <w:szCs w:val="24"/>
              </w:rPr>
              <w:t>04</w:t>
            </w:r>
            <w:r w:rsidR="00D822CC" w:rsidRPr="0025724F">
              <w:rPr>
                <w:rFonts w:eastAsia="Times New Roman" w:cs="Arial"/>
                <w:bCs/>
                <w:i/>
                <w:sz w:val="24"/>
                <w:szCs w:val="24"/>
              </w:rPr>
              <w:t xml:space="preserve">/ </w:t>
            </w:r>
            <w:r w:rsidRPr="0025724F">
              <w:rPr>
                <w:rFonts w:eastAsia="Times New Roman" w:cs="Arial"/>
                <w:bCs/>
                <w:i/>
                <w:sz w:val="24"/>
                <w:szCs w:val="24"/>
              </w:rPr>
              <w:t xml:space="preserve">2020 </w:t>
            </w:r>
            <w:r w:rsidR="00D822CC" w:rsidRPr="0025724F">
              <w:rPr>
                <w:rFonts w:eastAsia="Times New Roman" w:cs="Arial"/>
                <w:bCs/>
                <w:i/>
                <w:sz w:val="24"/>
                <w:szCs w:val="24"/>
              </w:rPr>
              <w:t xml:space="preserve"> (3-6 months prior to expiry date)</w:t>
            </w:r>
          </w:p>
          <w:p w:rsidR="006C1FE6" w:rsidRPr="00331633" w:rsidRDefault="006C1FE6" w:rsidP="00D02072">
            <w:pPr>
              <w:rPr>
                <w:rFonts w:eastAsia="Times New Roman" w:cs="Arial"/>
                <w:bCs/>
                <w:i/>
                <w:sz w:val="24"/>
                <w:szCs w:val="24"/>
              </w:rPr>
            </w:pPr>
            <w:r>
              <w:rPr>
                <w:rFonts w:eastAsia="Times New Roman" w:cs="Arial"/>
                <w:bCs/>
                <w:i/>
                <w:sz w:val="24"/>
                <w:szCs w:val="24"/>
              </w:rPr>
              <w:t xml:space="preserve">Updated </w:t>
            </w:r>
            <w:r w:rsidR="00D02072">
              <w:rPr>
                <w:rFonts w:eastAsia="Times New Roman" w:cs="Arial"/>
                <w:bCs/>
                <w:i/>
                <w:sz w:val="24"/>
                <w:szCs w:val="24"/>
              </w:rPr>
              <w:t>Oct</w:t>
            </w:r>
            <w:r>
              <w:rPr>
                <w:rFonts w:eastAsia="Times New Roman" w:cs="Arial"/>
                <w:bCs/>
                <w:i/>
                <w:sz w:val="24"/>
                <w:szCs w:val="24"/>
              </w:rPr>
              <w:t xml:space="preserve"> 2018</w:t>
            </w:r>
          </w:p>
        </w:tc>
      </w:tr>
      <w:tr w:rsidR="00D822CC" w:rsidRPr="00D822CC" w:rsidTr="000F1298">
        <w:trPr>
          <w:trHeight w:val="412"/>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Expiry date</w:t>
            </w:r>
          </w:p>
        </w:tc>
        <w:tc>
          <w:tcPr>
            <w:tcW w:w="5126" w:type="dxa"/>
            <w:shd w:val="clear" w:color="auto" w:fill="FFFFFF" w:themeFill="background1"/>
            <w:vAlign w:val="center"/>
          </w:tcPr>
          <w:p w:rsidR="00D822CC" w:rsidRPr="00331633" w:rsidRDefault="0025724F" w:rsidP="0025724F">
            <w:pPr>
              <w:rPr>
                <w:rFonts w:eastAsia="Times New Roman" w:cs="Arial"/>
                <w:bCs/>
                <w:i/>
                <w:color w:val="FF0000"/>
                <w:sz w:val="24"/>
                <w:szCs w:val="24"/>
              </w:rPr>
            </w:pPr>
            <w:r w:rsidRPr="0025724F">
              <w:rPr>
                <w:rFonts w:eastAsia="Times New Roman" w:cs="Arial"/>
                <w:bCs/>
                <w:i/>
                <w:sz w:val="24"/>
                <w:szCs w:val="24"/>
              </w:rPr>
              <w:t>10</w:t>
            </w:r>
            <w:r w:rsidR="00D822CC" w:rsidRPr="0025724F">
              <w:rPr>
                <w:rFonts w:eastAsia="Times New Roman" w:cs="Arial"/>
                <w:bCs/>
                <w:i/>
                <w:sz w:val="24"/>
                <w:szCs w:val="24"/>
              </w:rPr>
              <w:t xml:space="preserve">/ </w:t>
            </w:r>
            <w:r w:rsidRPr="0025724F">
              <w:rPr>
                <w:rFonts w:eastAsia="Times New Roman" w:cs="Arial"/>
                <w:bCs/>
                <w:i/>
                <w:sz w:val="24"/>
                <w:szCs w:val="24"/>
              </w:rPr>
              <w:t>08</w:t>
            </w:r>
            <w:r w:rsidR="00D822CC" w:rsidRPr="0025724F">
              <w:rPr>
                <w:rFonts w:eastAsia="Times New Roman" w:cs="Arial"/>
                <w:bCs/>
                <w:i/>
                <w:sz w:val="24"/>
                <w:szCs w:val="24"/>
              </w:rPr>
              <w:t xml:space="preserve">/ </w:t>
            </w:r>
            <w:r w:rsidRPr="0025724F">
              <w:rPr>
                <w:rFonts w:eastAsia="Times New Roman" w:cs="Arial"/>
                <w:bCs/>
                <w:i/>
                <w:sz w:val="24"/>
                <w:szCs w:val="24"/>
              </w:rPr>
              <w:t>20</w:t>
            </w:r>
            <w:r>
              <w:rPr>
                <w:rFonts w:eastAsia="Times New Roman" w:cs="Arial"/>
                <w:bCs/>
                <w:i/>
                <w:sz w:val="24"/>
                <w:szCs w:val="24"/>
              </w:rPr>
              <w:t>20</w:t>
            </w:r>
          </w:p>
        </w:tc>
      </w:tr>
      <w:tr w:rsidR="00D822CC" w:rsidRPr="00D822CC" w:rsidTr="000F1298">
        <w:trPr>
          <w:trHeight w:val="419"/>
        </w:trPr>
        <w:tc>
          <w:tcPr>
            <w:tcW w:w="4621" w:type="dxa"/>
            <w:shd w:val="clear" w:color="auto" w:fill="FFFFFF" w:themeFill="background1"/>
            <w:vAlign w:val="center"/>
          </w:tcPr>
          <w:p w:rsidR="00D822CC" w:rsidRPr="00415889" w:rsidRDefault="00D822CC" w:rsidP="00D822CC">
            <w:pPr>
              <w:rPr>
                <w:rFonts w:eastAsia="Times New Roman" w:cs="Arial"/>
                <w:b/>
                <w:sz w:val="24"/>
                <w:szCs w:val="24"/>
              </w:rPr>
            </w:pPr>
            <w:r w:rsidRPr="00415889">
              <w:rPr>
                <w:rFonts w:eastAsia="Times New Roman" w:cs="Arial"/>
                <w:b/>
                <w:sz w:val="24"/>
                <w:szCs w:val="24"/>
              </w:rPr>
              <w:t>Date document becomes live</w:t>
            </w:r>
          </w:p>
        </w:tc>
        <w:tc>
          <w:tcPr>
            <w:tcW w:w="5126" w:type="dxa"/>
            <w:shd w:val="clear" w:color="auto" w:fill="FFFFFF" w:themeFill="background1"/>
            <w:vAlign w:val="center"/>
          </w:tcPr>
          <w:p w:rsidR="00D822CC" w:rsidRPr="00331633" w:rsidRDefault="0025724F" w:rsidP="000D5D11">
            <w:pPr>
              <w:rPr>
                <w:rFonts w:eastAsia="Times New Roman" w:cs="Arial"/>
                <w:bCs/>
                <w:i/>
                <w:sz w:val="24"/>
                <w:szCs w:val="24"/>
              </w:rPr>
            </w:pPr>
            <w:r w:rsidRPr="0025724F">
              <w:rPr>
                <w:rFonts w:eastAsia="Times New Roman" w:cs="Arial"/>
                <w:bCs/>
                <w:i/>
                <w:sz w:val="24"/>
                <w:szCs w:val="24"/>
              </w:rPr>
              <w:t>10/08/2017</w:t>
            </w:r>
            <w:r w:rsidR="00D822CC" w:rsidRPr="0025724F">
              <w:rPr>
                <w:rFonts w:eastAsia="Times New Roman" w:cs="Arial"/>
                <w:bCs/>
                <w:i/>
                <w:sz w:val="24"/>
                <w:szCs w:val="24"/>
              </w:rPr>
              <w:t xml:space="preserve"> </w:t>
            </w:r>
          </w:p>
        </w:tc>
      </w:tr>
    </w:tbl>
    <w:p w:rsidR="00D02072" w:rsidRDefault="00280FC4" w:rsidP="000F1298">
      <w:pPr>
        <w:spacing w:after="200"/>
        <w:jc w:val="right"/>
        <w:rPr>
          <w:rFonts w:cs="Arial"/>
          <w:b/>
          <w:color w:val="auto"/>
          <w:sz w:val="28"/>
          <w:szCs w:val="28"/>
        </w:rPr>
      </w:pPr>
      <w:r>
        <w:rPr>
          <w:rFonts w:cs="Arial"/>
          <w:b/>
          <w:color w:val="auto"/>
          <w:sz w:val="28"/>
          <w:szCs w:val="28"/>
        </w:rPr>
        <w:t xml:space="preserve">                                                                                                                                                                                       </w:t>
      </w:r>
      <w:r w:rsidR="000F1298">
        <w:rPr>
          <w:rFonts w:cs="Arial"/>
          <w:b/>
          <w:color w:val="auto"/>
          <w:sz w:val="28"/>
          <w:szCs w:val="28"/>
        </w:rPr>
        <w:t xml:space="preserve">          </w:t>
      </w:r>
    </w:p>
    <w:p w:rsidR="00D02072" w:rsidRDefault="00D02072" w:rsidP="000F1298">
      <w:pPr>
        <w:spacing w:after="200"/>
        <w:jc w:val="right"/>
        <w:rPr>
          <w:rFonts w:cs="Arial"/>
          <w:b/>
          <w:color w:val="auto"/>
          <w:sz w:val="28"/>
          <w:szCs w:val="28"/>
        </w:rPr>
      </w:pPr>
    </w:p>
    <w:p w:rsidR="00D02072" w:rsidRDefault="00D02072" w:rsidP="000F1298">
      <w:pPr>
        <w:spacing w:after="200"/>
        <w:jc w:val="right"/>
        <w:rPr>
          <w:rFonts w:cs="Arial"/>
          <w:b/>
          <w:color w:val="auto"/>
          <w:sz w:val="28"/>
          <w:szCs w:val="28"/>
        </w:rPr>
      </w:pPr>
    </w:p>
    <w:p w:rsidR="00D02072" w:rsidRDefault="00D02072" w:rsidP="000F1298">
      <w:pPr>
        <w:spacing w:after="200"/>
        <w:jc w:val="right"/>
        <w:rPr>
          <w:rFonts w:cs="Arial"/>
          <w:b/>
          <w:color w:val="auto"/>
          <w:sz w:val="28"/>
          <w:szCs w:val="28"/>
        </w:rPr>
      </w:pPr>
    </w:p>
    <w:p w:rsidR="00D02072" w:rsidRDefault="00D02072" w:rsidP="000F1298">
      <w:pPr>
        <w:spacing w:after="200"/>
        <w:jc w:val="right"/>
        <w:rPr>
          <w:rFonts w:cs="Arial"/>
          <w:b/>
          <w:color w:val="auto"/>
          <w:sz w:val="28"/>
          <w:szCs w:val="28"/>
        </w:rPr>
      </w:pPr>
    </w:p>
    <w:p w:rsidR="00C95609" w:rsidRPr="004A5900" w:rsidRDefault="00FD4928" w:rsidP="000F1298">
      <w:pPr>
        <w:spacing w:after="200"/>
        <w:jc w:val="right"/>
        <w:rPr>
          <w:rFonts w:cs="Arial"/>
          <w:b/>
          <w:color w:val="auto"/>
          <w:sz w:val="24"/>
          <w:szCs w:val="24"/>
        </w:rPr>
      </w:pPr>
      <w:r w:rsidRPr="004A5900">
        <w:rPr>
          <w:rFonts w:cs="Arial"/>
          <w:b/>
          <w:color w:val="auto"/>
          <w:sz w:val="24"/>
          <w:szCs w:val="24"/>
        </w:rPr>
        <w:t>Appendix 1</w:t>
      </w:r>
    </w:p>
    <w:p w:rsidR="009E4C92" w:rsidRDefault="00FD4928" w:rsidP="00C95609">
      <w:pPr>
        <w:spacing w:after="200"/>
        <w:rPr>
          <w:rFonts w:cs="Arial"/>
          <w:b/>
          <w:color w:val="auto"/>
          <w:sz w:val="24"/>
          <w:szCs w:val="24"/>
        </w:rPr>
      </w:pPr>
      <w:r w:rsidRPr="004A5900">
        <w:rPr>
          <w:rFonts w:cs="Arial"/>
          <w:b/>
          <w:color w:val="auto"/>
          <w:sz w:val="24"/>
          <w:szCs w:val="24"/>
        </w:rPr>
        <w:t>Use th</w:t>
      </w:r>
      <w:r w:rsidR="00D02072">
        <w:rPr>
          <w:rFonts w:cs="Arial"/>
          <w:b/>
          <w:color w:val="auto"/>
          <w:sz w:val="24"/>
          <w:szCs w:val="24"/>
        </w:rPr>
        <w:t>e following</w:t>
      </w:r>
      <w:r w:rsidRPr="004A5900">
        <w:rPr>
          <w:rFonts w:cs="Arial"/>
          <w:b/>
          <w:color w:val="auto"/>
          <w:sz w:val="24"/>
          <w:szCs w:val="24"/>
        </w:rPr>
        <w:t xml:space="preserve"> link </w:t>
      </w:r>
      <w:r w:rsidR="00722335" w:rsidRPr="004A5900">
        <w:rPr>
          <w:rFonts w:cs="Arial"/>
          <w:b/>
          <w:color w:val="auto"/>
          <w:sz w:val="24"/>
          <w:szCs w:val="24"/>
        </w:rPr>
        <w:t>to access the calculator</w:t>
      </w:r>
      <w:r w:rsidR="00B15996" w:rsidRPr="004A5900">
        <w:rPr>
          <w:rFonts w:cs="Arial"/>
          <w:b/>
          <w:color w:val="auto"/>
          <w:sz w:val="24"/>
          <w:szCs w:val="24"/>
        </w:rPr>
        <w:t xml:space="preserve"> </w:t>
      </w:r>
    </w:p>
    <w:p w:rsidR="00C35D19" w:rsidRDefault="00424E0D" w:rsidP="009E4C92">
      <w:pPr>
        <w:spacing w:after="200"/>
        <w:rPr>
          <w:rFonts w:cs="Arial"/>
          <w:b/>
          <w:sz w:val="24"/>
        </w:rPr>
      </w:pPr>
      <w:hyperlink r:id="rId22" w:history="1">
        <w:r w:rsidR="009E4C92">
          <w:rPr>
            <w:rStyle w:val="Hyperlink"/>
          </w:rPr>
          <w:t>https://hub.exe.nhs.uk/search/?q=monofer+calculator</w:t>
        </w:r>
      </w:hyperlink>
    </w:p>
    <w:p w:rsidR="00C35D19" w:rsidRDefault="00C35D19" w:rsidP="00C35D19">
      <w:pPr>
        <w:spacing w:before="170"/>
        <w:rPr>
          <w:rFonts w:cs="Arial"/>
          <w:b/>
          <w:sz w:val="24"/>
        </w:rPr>
      </w:pPr>
    </w:p>
    <w:tbl>
      <w:tblPr>
        <w:tblpPr w:leftFromText="180" w:rightFromText="180" w:vertAnchor="page" w:horzAnchor="page" w:tblpX="2548" w:tblpY="4156"/>
        <w:tblW w:w="7504" w:type="dxa"/>
        <w:tblLook w:val="04A0" w:firstRow="1" w:lastRow="0" w:firstColumn="1" w:lastColumn="0" w:noHBand="0" w:noVBand="1"/>
      </w:tblPr>
      <w:tblGrid>
        <w:gridCol w:w="3822"/>
        <w:gridCol w:w="471"/>
        <w:gridCol w:w="1360"/>
        <w:gridCol w:w="1851"/>
      </w:tblGrid>
      <w:tr w:rsidR="009E4C92" w:rsidRPr="00C35D19" w:rsidTr="009E4C92">
        <w:trPr>
          <w:trHeight w:val="825"/>
        </w:trPr>
        <w:tc>
          <w:tcPr>
            <w:tcW w:w="7504" w:type="dxa"/>
            <w:gridSpan w:val="4"/>
            <w:tcBorders>
              <w:top w:val="nil"/>
              <w:left w:val="nil"/>
              <w:bottom w:val="single" w:sz="12" w:space="0" w:color="4F81BD"/>
              <w:right w:val="nil"/>
            </w:tcBorders>
            <w:shd w:val="clear" w:color="auto" w:fill="auto"/>
            <w:vAlign w:val="bottom"/>
            <w:hideMark/>
          </w:tcPr>
          <w:p w:rsidR="009E4C92" w:rsidRPr="00C35D19" w:rsidRDefault="009E4C92" w:rsidP="009E4C92">
            <w:pPr>
              <w:spacing w:line="240" w:lineRule="auto"/>
              <w:jc w:val="center"/>
              <w:rPr>
                <w:rFonts w:ascii="Calibri" w:eastAsia="Times New Roman" w:hAnsi="Calibri" w:cs="Calibri"/>
                <w:b/>
                <w:bCs/>
                <w:color w:val="1F497D"/>
                <w:sz w:val="30"/>
                <w:szCs w:val="30"/>
                <w:lang w:eastAsia="en-GB"/>
              </w:rPr>
            </w:pPr>
            <w:r w:rsidRPr="00C35D19">
              <w:rPr>
                <w:rFonts w:ascii="Calibri" w:eastAsia="Times New Roman" w:hAnsi="Calibri" w:cs="Calibri"/>
                <w:b/>
                <w:bCs/>
                <w:color w:val="1F497D"/>
                <w:sz w:val="30"/>
                <w:szCs w:val="30"/>
                <w:lang w:eastAsia="en-GB"/>
              </w:rPr>
              <w:t>Monofer (iron (III) isomaltoside 1000) dosing calculator</w:t>
            </w:r>
          </w:p>
        </w:tc>
      </w:tr>
      <w:tr w:rsidR="009E4C92" w:rsidRPr="00C35D19" w:rsidTr="009E4C92">
        <w:trPr>
          <w:trHeight w:val="50"/>
        </w:trPr>
        <w:tc>
          <w:tcPr>
            <w:tcW w:w="3822"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47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Range permitted</w:t>
            </w:r>
          </w:p>
        </w:tc>
      </w:tr>
      <w:tr w:rsidR="009E4C92" w:rsidRPr="00C35D19" w:rsidTr="009E4C92">
        <w:trPr>
          <w:trHeight w:val="300"/>
        </w:trPr>
        <w:tc>
          <w:tcPr>
            <w:tcW w:w="3822" w:type="dxa"/>
            <w:tcBorders>
              <w:top w:val="single" w:sz="8" w:space="0" w:color="auto"/>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Sex</w:t>
            </w:r>
          </w:p>
        </w:tc>
        <w:tc>
          <w:tcPr>
            <w:tcW w:w="1831" w:type="dxa"/>
            <w:gridSpan w:val="2"/>
            <w:tcBorders>
              <w:top w:val="single" w:sz="8" w:space="0" w:color="auto"/>
              <w:left w:val="single" w:sz="4" w:space="0" w:color="9BBB59"/>
              <w:bottom w:val="single" w:sz="4" w:space="0" w:color="9BBB59"/>
              <w:right w:val="nil"/>
            </w:tcBorders>
            <w:shd w:val="clear" w:color="000000" w:fill="F2F2F2"/>
            <w:noWrap/>
            <w:vAlign w:val="bottom"/>
            <w:hideMark/>
          </w:tcPr>
          <w:p w:rsidR="009E4C92" w:rsidRPr="00C35D19" w:rsidRDefault="009E4C92" w:rsidP="009E4C92">
            <w:pPr>
              <w:spacing w:line="240" w:lineRule="auto"/>
              <w:rPr>
                <w:rFonts w:ascii="Calibri" w:eastAsia="Times New Roman" w:hAnsi="Calibri" w:cs="Calibri"/>
                <w:color w:val="000000"/>
                <w:lang w:eastAsia="en-GB"/>
              </w:rPr>
            </w:pPr>
            <w:bookmarkStart w:id="6" w:name="RANGE!C3"/>
            <w:r w:rsidRPr="00C35D19">
              <w:rPr>
                <w:rFonts w:ascii="Calibri" w:eastAsia="Times New Roman" w:hAnsi="Calibri" w:cs="Calibri"/>
                <w:color w:val="000000"/>
                <w:lang w:eastAsia="en-GB"/>
              </w:rPr>
              <w:t>Female</w:t>
            </w:r>
            <w:bookmarkEnd w:id="6"/>
          </w:p>
        </w:tc>
        <w:tc>
          <w:tcPr>
            <w:tcW w:w="1851" w:type="dxa"/>
            <w:tcBorders>
              <w:top w:val="single" w:sz="8" w:space="0" w:color="auto"/>
              <w:left w:val="nil"/>
              <w:bottom w:val="nil"/>
              <w:right w:val="single" w:sz="8" w:space="0" w:color="auto"/>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r w:rsidRPr="00C35D19">
              <w:rPr>
                <w:rFonts w:ascii="Calibri" w:eastAsia="Times New Roman" w:hAnsi="Calibri" w:cs="Calibri"/>
                <w:color w:val="000000"/>
                <w:lang w:eastAsia="en-GB"/>
              </w:rPr>
              <w:t>Male, Female</w:t>
            </w:r>
          </w:p>
        </w:tc>
      </w:tr>
      <w:tr w:rsidR="009E4C92" w:rsidRPr="00C35D19" w:rsidTr="009E4C92">
        <w:trPr>
          <w:trHeight w:val="300"/>
        </w:trPr>
        <w:tc>
          <w:tcPr>
            <w:tcW w:w="3822" w:type="dxa"/>
            <w:tcBorders>
              <w:top w:val="nil"/>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Height</w:t>
            </w:r>
          </w:p>
        </w:tc>
        <w:tc>
          <w:tcPr>
            <w:tcW w:w="471" w:type="dxa"/>
            <w:tcBorders>
              <w:top w:val="nil"/>
              <w:left w:val="single" w:sz="4" w:space="0" w:color="9BBB59"/>
              <w:bottom w:val="single" w:sz="4" w:space="0" w:color="9BBB59"/>
              <w:right w:val="nil"/>
            </w:tcBorders>
            <w:shd w:val="clear" w:color="000000" w:fill="F2F2F2"/>
            <w:noWrap/>
            <w:vAlign w:val="bottom"/>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single" w:sz="4" w:space="0" w:color="9BBB59"/>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cm</w:t>
            </w:r>
          </w:p>
        </w:tc>
        <w:tc>
          <w:tcPr>
            <w:tcW w:w="1851" w:type="dxa"/>
            <w:tcBorders>
              <w:top w:val="nil"/>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r w:rsidRPr="00C35D19">
              <w:rPr>
                <w:rFonts w:ascii="Calibri" w:eastAsia="Times New Roman" w:hAnsi="Calibri" w:cs="Calibri"/>
                <w:color w:val="000000"/>
                <w:lang w:eastAsia="en-GB"/>
              </w:rPr>
              <w:t>150 - 250 cm</w:t>
            </w:r>
          </w:p>
        </w:tc>
      </w:tr>
      <w:tr w:rsidR="009E4C92" w:rsidRPr="00C35D19" w:rsidTr="009E4C92">
        <w:trPr>
          <w:trHeight w:val="300"/>
        </w:trPr>
        <w:tc>
          <w:tcPr>
            <w:tcW w:w="3822" w:type="dxa"/>
            <w:tcBorders>
              <w:top w:val="nil"/>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Weight</w:t>
            </w:r>
          </w:p>
        </w:tc>
        <w:tc>
          <w:tcPr>
            <w:tcW w:w="471" w:type="dxa"/>
            <w:tcBorders>
              <w:top w:val="nil"/>
              <w:left w:val="single" w:sz="4" w:space="0" w:color="9BBB59"/>
              <w:bottom w:val="single" w:sz="4" w:space="0" w:color="9BBB59"/>
              <w:right w:val="single" w:sz="4" w:space="0" w:color="9BBB59"/>
            </w:tcBorders>
            <w:shd w:val="clear" w:color="000000" w:fill="F2F2F2"/>
            <w:noWrap/>
            <w:vAlign w:val="bottom"/>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nil"/>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kg</w:t>
            </w:r>
          </w:p>
        </w:tc>
        <w:tc>
          <w:tcPr>
            <w:tcW w:w="1851" w:type="dxa"/>
            <w:tcBorders>
              <w:top w:val="single" w:sz="4" w:space="0" w:color="auto"/>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r w:rsidRPr="00C35D19">
              <w:rPr>
                <w:rFonts w:ascii="Calibri" w:eastAsia="Times New Roman" w:hAnsi="Calibri" w:cs="Calibri"/>
                <w:color w:val="000000"/>
                <w:lang w:eastAsia="en-GB"/>
              </w:rPr>
              <w:t>30 - 400 kg</w:t>
            </w:r>
          </w:p>
        </w:tc>
      </w:tr>
      <w:tr w:rsidR="009E4C92" w:rsidRPr="00C35D19" w:rsidTr="009E4C92">
        <w:trPr>
          <w:trHeight w:val="300"/>
        </w:trPr>
        <w:tc>
          <w:tcPr>
            <w:tcW w:w="3822" w:type="dxa"/>
            <w:tcBorders>
              <w:top w:val="nil"/>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Ideal body weight</w:t>
            </w:r>
          </w:p>
        </w:tc>
        <w:tc>
          <w:tcPr>
            <w:tcW w:w="471" w:type="dxa"/>
            <w:tcBorders>
              <w:top w:val="nil"/>
              <w:left w:val="nil"/>
              <w:bottom w:val="single" w:sz="4" w:space="0" w:color="auto"/>
              <w:right w:val="nil"/>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nil"/>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kg</w:t>
            </w:r>
          </w:p>
        </w:tc>
        <w:tc>
          <w:tcPr>
            <w:tcW w:w="1851" w:type="dxa"/>
            <w:tcBorders>
              <w:top w:val="nil"/>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 </w:t>
            </w:r>
          </w:p>
        </w:tc>
      </w:tr>
      <w:tr w:rsidR="009E4C92" w:rsidRPr="00C35D19" w:rsidTr="009E4C92">
        <w:trPr>
          <w:trHeight w:val="315"/>
        </w:trPr>
        <w:tc>
          <w:tcPr>
            <w:tcW w:w="3822" w:type="dxa"/>
            <w:tcBorders>
              <w:top w:val="nil"/>
              <w:left w:val="single" w:sz="8" w:space="0" w:color="auto"/>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Weight used</w:t>
            </w:r>
          </w:p>
        </w:tc>
        <w:tc>
          <w:tcPr>
            <w:tcW w:w="471" w:type="dxa"/>
            <w:tcBorders>
              <w:top w:val="nil"/>
              <w:left w:val="nil"/>
              <w:bottom w:val="single" w:sz="8" w:space="0" w:color="auto"/>
              <w:right w:val="nil"/>
            </w:tcBorders>
            <w:shd w:val="clear" w:color="auto" w:fill="auto"/>
            <w:noWrap/>
            <w:vAlign w:val="bottom"/>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nil"/>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kg</w:t>
            </w:r>
          </w:p>
        </w:tc>
        <w:tc>
          <w:tcPr>
            <w:tcW w:w="1851" w:type="dxa"/>
            <w:tcBorders>
              <w:top w:val="nil"/>
              <w:left w:val="nil"/>
              <w:bottom w:val="single" w:sz="8"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 </w:t>
            </w:r>
          </w:p>
        </w:tc>
      </w:tr>
      <w:tr w:rsidR="009E4C92" w:rsidRPr="00C35D19" w:rsidTr="009E4C92">
        <w:trPr>
          <w:trHeight w:val="315"/>
        </w:trPr>
        <w:tc>
          <w:tcPr>
            <w:tcW w:w="3822"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p>
        </w:tc>
        <w:tc>
          <w:tcPr>
            <w:tcW w:w="47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00"/>
        </w:trPr>
        <w:tc>
          <w:tcPr>
            <w:tcW w:w="3822" w:type="dxa"/>
            <w:tcBorders>
              <w:top w:val="single" w:sz="8" w:space="0" w:color="auto"/>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Current haemoglobin</w:t>
            </w:r>
          </w:p>
        </w:tc>
        <w:tc>
          <w:tcPr>
            <w:tcW w:w="471" w:type="dxa"/>
            <w:tcBorders>
              <w:top w:val="single" w:sz="8" w:space="0" w:color="auto"/>
              <w:left w:val="single" w:sz="4" w:space="0" w:color="9BBB59"/>
              <w:bottom w:val="single" w:sz="4" w:space="0" w:color="9BBB59"/>
              <w:right w:val="nil"/>
            </w:tcBorders>
            <w:shd w:val="clear" w:color="000000" w:fill="F2F2F2"/>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single" w:sz="8" w:space="0" w:color="auto"/>
              <w:left w:val="single" w:sz="4" w:space="0" w:color="9BBB59"/>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g/L</w:t>
            </w:r>
          </w:p>
        </w:tc>
        <w:tc>
          <w:tcPr>
            <w:tcW w:w="1851" w:type="dxa"/>
            <w:tcBorders>
              <w:top w:val="single" w:sz="8" w:space="0" w:color="auto"/>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30 - 150 g/L</w:t>
            </w:r>
          </w:p>
        </w:tc>
      </w:tr>
      <w:tr w:rsidR="009E4C92" w:rsidRPr="00C35D19" w:rsidTr="009E4C92">
        <w:trPr>
          <w:trHeight w:val="315"/>
        </w:trPr>
        <w:tc>
          <w:tcPr>
            <w:tcW w:w="3822" w:type="dxa"/>
            <w:tcBorders>
              <w:top w:val="nil"/>
              <w:left w:val="single" w:sz="8" w:space="0" w:color="auto"/>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Target haemoglobin</w:t>
            </w:r>
          </w:p>
        </w:tc>
        <w:tc>
          <w:tcPr>
            <w:tcW w:w="471" w:type="dxa"/>
            <w:tcBorders>
              <w:top w:val="nil"/>
              <w:left w:val="nil"/>
              <w:bottom w:val="single" w:sz="8" w:space="0" w:color="auto"/>
              <w:right w:val="nil"/>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nil"/>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g/L</w:t>
            </w:r>
          </w:p>
        </w:tc>
        <w:tc>
          <w:tcPr>
            <w:tcW w:w="1851" w:type="dxa"/>
            <w:tcBorders>
              <w:top w:val="nil"/>
              <w:left w:val="nil"/>
              <w:bottom w:val="single" w:sz="8"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100 - 150 g/L</w:t>
            </w:r>
          </w:p>
        </w:tc>
      </w:tr>
      <w:tr w:rsidR="009E4C92" w:rsidRPr="00C35D19" w:rsidTr="009E4C92">
        <w:trPr>
          <w:trHeight w:val="315"/>
        </w:trPr>
        <w:tc>
          <w:tcPr>
            <w:tcW w:w="3822"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p>
        </w:tc>
        <w:tc>
          <w:tcPr>
            <w:tcW w:w="47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15"/>
        </w:trPr>
        <w:tc>
          <w:tcPr>
            <w:tcW w:w="3822" w:type="dxa"/>
            <w:tcBorders>
              <w:top w:val="single" w:sz="8" w:space="0" w:color="auto"/>
              <w:left w:val="single" w:sz="8" w:space="0" w:color="auto"/>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Total dose required</w:t>
            </w:r>
          </w:p>
        </w:tc>
        <w:tc>
          <w:tcPr>
            <w:tcW w:w="471" w:type="dxa"/>
            <w:tcBorders>
              <w:top w:val="single" w:sz="8" w:space="0" w:color="auto"/>
              <w:left w:val="nil"/>
              <w:bottom w:val="single" w:sz="8" w:space="0" w:color="auto"/>
              <w:right w:val="nil"/>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mg Monofer</w:t>
            </w: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15"/>
        </w:trPr>
        <w:tc>
          <w:tcPr>
            <w:tcW w:w="3822"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p>
        </w:tc>
        <w:tc>
          <w:tcPr>
            <w:tcW w:w="47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00"/>
        </w:trPr>
        <w:tc>
          <w:tcPr>
            <w:tcW w:w="3822" w:type="dxa"/>
            <w:tcBorders>
              <w:top w:val="single" w:sz="8" w:space="0" w:color="auto"/>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Dose for first infusion</w:t>
            </w:r>
          </w:p>
        </w:tc>
        <w:tc>
          <w:tcPr>
            <w:tcW w:w="471" w:type="dxa"/>
            <w:tcBorders>
              <w:top w:val="single" w:sz="8" w:space="0" w:color="auto"/>
              <w:left w:val="nil"/>
              <w:bottom w:val="single" w:sz="4" w:space="0" w:color="auto"/>
              <w:right w:val="nil"/>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single" w:sz="8" w:space="0" w:color="auto"/>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mg Monofer</w:t>
            </w: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15"/>
        </w:trPr>
        <w:tc>
          <w:tcPr>
            <w:tcW w:w="3822" w:type="dxa"/>
            <w:tcBorders>
              <w:top w:val="nil"/>
              <w:left w:val="single" w:sz="8" w:space="0" w:color="auto"/>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Minimum time for first infusion</w:t>
            </w:r>
          </w:p>
        </w:tc>
        <w:tc>
          <w:tcPr>
            <w:tcW w:w="471" w:type="dxa"/>
            <w:tcBorders>
              <w:top w:val="nil"/>
              <w:left w:val="nil"/>
              <w:bottom w:val="single" w:sz="8" w:space="0" w:color="auto"/>
              <w:right w:val="nil"/>
            </w:tcBorders>
            <w:shd w:val="clear" w:color="auto" w:fill="auto"/>
            <w:noWrap/>
            <w:vAlign w:val="bottom"/>
            <w:hideMark/>
          </w:tcPr>
          <w:p w:rsidR="009E4C92" w:rsidRPr="00C35D19" w:rsidRDefault="009E4C92" w:rsidP="009E4C92">
            <w:pPr>
              <w:spacing w:line="240" w:lineRule="auto"/>
              <w:jc w:val="right"/>
              <w:rPr>
                <w:rFonts w:ascii="Calibri" w:eastAsia="Times New Roman" w:hAnsi="Calibri" w:cs="Calibri"/>
                <w:color w:val="000000"/>
                <w:lang w:eastAsia="en-GB"/>
              </w:rPr>
            </w:pPr>
          </w:p>
        </w:tc>
        <w:tc>
          <w:tcPr>
            <w:tcW w:w="1360" w:type="dxa"/>
            <w:tcBorders>
              <w:top w:val="nil"/>
              <w:left w:val="nil"/>
              <w:bottom w:val="single" w:sz="8"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minutes</w:t>
            </w: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15"/>
        </w:trPr>
        <w:tc>
          <w:tcPr>
            <w:tcW w:w="3822"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p>
        </w:tc>
        <w:tc>
          <w:tcPr>
            <w:tcW w:w="47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00"/>
        </w:trPr>
        <w:tc>
          <w:tcPr>
            <w:tcW w:w="3822" w:type="dxa"/>
            <w:tcBorders>
              <w:top w:val="single" w:sz="8" w:space="0" w:color="auto"/>
              <w:left w:val="single" w:sz="8" w:space="0" w:color="auto"/>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Dose for second infusion</w:t>
            </w:r>
          </w:p>
        </w:tc>
        <w:tc>
          <w:tcPr>
            <w:tcW w:w="471" w:type="dxa"/>
            <w:tcBorders>
              <w:top w:val="single" w:sz="8" w:space="0" w:color="auto"/>
              <w:left w:val="nil"/>
              <w:bottom w:val="single" w:sz="4"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bookmarkStart w:id="7" w:name="RANGE!C17"/>
            <w:r w:rsidRPr="00C35D19">
              <w:rPr>
                <w:rFonts w:ascii="Calibri" w:eastAsia="Times New Roman" w:hAnsi="Calibri" w:cs="Calibri"/>
                <w:color w:val="000000"/>
                <w:lang w:eastAsia="en-GB"/>
              </w:rPr>
              <w:t> </w:t>
            </w:r>
            <w:bookmarkEnd w:id="7"/>
          </w:p>
        </w:tc>
        <w:tc>
          <w:tcPr>
            <w:tcW w:w="1360" w:type="dxa"/>
            <w:tcBorders>
              <w:top w:val="single" w:sz="8" w:space="0" w:color="auto"/>
              <w:left w:val="nil"/>
              <w:bottom w:val="single" w:sz="4"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mg Monofer</w:t>
            </w: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r w:rsidR="009E4C92" w:rsidRPr="00C35D19" w:rsidTr="009E4C92">
        <w:trPr>
          <w:trHeight w:val="315"/>
        </w:trPr>
        <w:tc>
          <w:tcPr>
            <w:tcW w:w="3822" w:type="dxa"/>
            <w:tcBorders>
              <w:top w:val="nil"/>
              <w:left w:val="single" w:sz="8" w:space="0" w:color="auto"/>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b/>
                <w:bCs/>
                <w:color w:val="000000"/>
                <w:lang w:eastAsia="en-GB"/>
              </w:rPr>
            </w:pPr>
            <w:r w:rsidRPr="00C35D19">
              <w:rPr>
                <w:rFonts w:ascii="Calibri" w:eastAsia="Times New Roman" w:hAnsi="Calibri" w:cs="Calibri"/>
                <w:b/>
                <w:bCs/>
                <w:color w:val="000000"/>
                <w:lang w:eastAsia="en-GB"/>
              </w:rPr>
              <w:t>Minimum time for second infusion</w:t>
            </w:r>
          </w:p>
        </w:tc>
        <w:tc>
          <w:tcPr>
            <w:tcW w:w="471" w:type="dxa"/>
            <w:tcBorders>
              <w:top w:val="nil"/>
              <w:left w:val="nil"/>
              <w:bottom w:val="single" w:sz="8" w:space="0" w:color="auto"/>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 </w:t>
            </w:r>
          </w:p>
        </w:tc>
        <w:tc>
          <w:tcPr>
            <w:tcW w:w="1360" w:type="dxa"/>
            <w:tcBorders>
              <w:top w:val="nil"/>
              <w:left w:val="nil"/>
              <w:bottom w:val="single" w:sz="8" w:space="0" w:color="auto"/>
              <w:right w:val="single" w:sz="8" w:space="0" w:color="auto"/>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r w:rsidRPr="00C35D19">
              <w:rPr>
                <w:rFonts w:ascii="Calibri" w:eastAsia="Times New Roman" w:hAnsi="Calibri" w:cs="Calibri"/>
                <w:color w:val="000000"/>
                <w:lang w:eastAsia="en-GB"/>
              </w:rPr>
              <w:t>minutes</w:t>
            </w:r>
          </w:p>
        </w:tc>
        <w:tc>
          <w:tcPr>
            <w:tcW w:w="1851" w:type="dxa"/>
            <w:tcBorders>
              <w:top w:val="nil"/>
              <w:left w:val="nil"/>
              <w:bottom w:val="nil"/>
              <w:right w:val="nil"/>
            </w:tcBorders>
            <w:shd w:val="clear" w:color="auto" w:fill="auto"/>
            <w:noWrap/>
            <w:vAlign w:val="bottom"/>
            <w:hideMark/>
          </w:tcPr>
          <w:p w:rsidR="009E4C92" w:rsidRPr="00C35D19" w:rsidRDefault="009E4C92" w:rsidP="009E4C92">
            <w:pPr>
              <w:spacing w:line="240" w:lineRule="auto"/>
              <w:rPr>
                <w:rFonts w:ascii="Calibri" w:eastAsia="Times New Roman" w:hAnsi="Calibri" w:cs="Calibri"/>
                <w:color w:val="000000"/>
                <w:lang w:eastAsia="en-GB"/>
              </w:rPr>
            </w:pPr>
          </w:p>
        </w:tc>
      </w:tr>
    </w:tbl>
    <w:p w:rsidR="00C35D19" w:rsidRDefault="00C35D19" w:rsidP="00C35D19">
      <w:pPr>
        <w:spacing w:before="170"/>
        <w:rPr>
          <w:rFonts w:cs="Arial"/>
          <w:b/>
          <w:sz w:val="24"/>
        </w:rPr>
      </w:pPr>
    </w:p>
    <w:p w:rsidR="00C35D19" w:rsidRDefault="00C35D19" w:rsidP="00C35D19">
      <w:pPr>
        <w:spacing w:before="170"/>
        <w:rPr>
          <w:rFonts w:cs="Arial"/>
          <w:b/>
          <w:sz w:val="24"/>
        </w:rPr>
      </w:pPr>
    </w:p>
    <w:p w:rsidR="00C35D19" w:rsidRDefault="00C35D19" w:rsidP="00C35D19">
      <w:pPr>
        <w:spacing w:before="170"/>
        <w:rPr>
          <w:rFonts w:cs="Arial"/>
          <w:b/>
          <w:sz w:val="24"/>
        </w:rPr>
      </w:pPr>
    </w:p>
    <w:p w:rsidR="00C35D19" w:rsidRDefault="00C35D19" w:rsidP="00C35D19">
      <w:pPr>
        <w:spacing w:before="170"/>
        <w:rPr>
          <w:rFonts w:cs="Arial"/>
          <w:b/>
          <w:sz w:val="24"/>
        </w:rPr>
      </w:pPr>
    </w:p>
    <w:p w:rsidR="00C35D19" w:rsidRDefault="00C35D19" w:rsidP="00C35D19">
      <w:pPr>
        <w:spacing w:before="170"/>
        <w:rPr>
          <w:rFonts w:cs="Arial"/>
          <w:b/>
          <w:sz w:val="24"/>
        </w:rPr>
      </w:pPr>
    </w:p>
    <w:p w:rsidR="00C35D19" w:rsidRDefault="00C35D19" w:rsidP="00C35D19">
      <w:pPr>
        <w:spacing w:before="170"/>
        <w:rPr>
          <w:rFonts w:cs="Arial"/>
          <w:b/>
          <w:sz w:val="24"/>
        </w:rPr>
      </w:pPr>
    </w:p>
    <w:p w:rsidR="00C35D19" w:rsidRDefault="00C35D19" w:rsidP="00C35D19">
      <w:pPr>
        <w:spacing w:before="170"/>
        <w:rPr>
          <w:rFonts w:cs="Arial"/>
          <w:b/>
          <w:sz w:val="24"/>
        </w:rPr>
      </w:pPr>
    </w:p>
    <w:p w:rsidR="00280FC4" w:rsidRDefault="00280FC4" w:rsidP="00FD4928">
      <w:pPr>
        <w:spacing w:before="170"/>
        <w:rPr>
          <w:rFonts w:cs="Arial"/>
          <w:b/>
          <w:sz w:val="24"/>
        </w:rPr>
      </w:pPr>
    </w:p>
    <w:p w:rsidR="00280FC4" w:rsidRDefault="00280FC4" w:rsidP="00FD4928">
      <w:pPr>
        <w:spacing w:before="170"/>
        <w:rPr>
          <w:rFonts w:cs="Arial"/>
          <w:b/>
          <w:sz w:val="24"/>
        </w:rPr>
      </w:pPr>
    </w:p>
    <w:p w:rsidR="00280FC4" w:rsidRDefault="00280FC4" w:rsidP="00FD4928">
      <w:pPr>
        <w:spacing w:before="170"/>
        <w:rPr>
          <w:rFonts w:cs="Arial"/>
          <w:b/>
          <w:sz w:val="24"/>
        </w:rPr>
      </w:pPr>
    </w:p>
    <w:p w:rsidR="00280FC4" w:rsidRDefault="00280FC4" w:rsidP="00FD4928">
      <w:pPr>
        <w:spacing w:before="170"/>
        <w:rPr>
          <w:rFonts w:cs="Arial"/>
          <w:b/>
          <w:sz w:val="24"/>
        </w:rPr>
      </w:pPr>
    </w:p>
    <w:p w:rsidR="00280FC4" w:rsidRDefault="00280FC4" w:rsidP="00FD4928">
      <w:pPr>
        <w:spacing w:before="170"/>
        <w:rPr>
          <w:rFonts w:cs="Arial"/>
          <w:b/>
          <w:sz w:val="24"/>
        </w:rPr>
      </w:pPr>
    </w:p>
    <w:p w:rsidR="00280FC4" w:rsidRDefault="00280FC4"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FD4928">
      <w:pPr>
        <w:spacing w:before="170"/>
        <w:rPr>
          <w:rFonts w:cs="Arial"/>
          <w:b/>
          <w:sz w:val="24"/>
        </w:rPr>
      </w:pPr>
    </w:p>
    <w:p w:rsidR="00722335" w:rsidRDefault="00722335" w:rsidP="00722335">
      <w:pPr>
        <w:spacing w:before="170"/>
        <w:jc w:val="right"/>
        <w:rPr>
          <w:rFonts w:cs="Arial"/>
          <w:b/>
          <w:sz w:val="24"/>
        </w:rPr>
      </w:pPr>
    </w:p>
    <w:p w:rsidR="00722335" w:rsidRDefault="00722335" w:rsidP="00722335">
      <w:pPr>
        <w:spacing w:before="170"/>
        <w:jc w:val="right"/>
        <w:rPr>
          <w:rFonts w:cs="Arial"/>
          <w:b/>
          <w:sz w:val="24"/>
        </w:rPr>
      </w:pPr>
      <w:r w:rsidRPr="00722335">
        <w:rPr>
          <w:rFonts w:cs="Arial"/>
          <w:b/>
          <w:sz w:val="24"/>
        </w:rPr>
        <w:lastRenderedPageBreak/>
        <w:t>Appendix 2</w:t>
      </w:r>
    </w:p>
    <w:p w:rsidR="00C35D19" w:rsidRPr="00861257" w:rsidRDefault="00C35D19" w:rsidP="00FD4928">
      <w:pPr>
        <w:spacing w:before="170"/>
        <w:rPr>
          <w:rFonts w:cs="Arial"/>
          <w:b/>
          <w:sz w:val="24"/>
        </w:rPr>
      </w:pPr>
      <w:r>
        <w:rPr>
          <w:rFonts w:cs="Arial"/>
          <w:b/>
          <w:sz w:val="24"/>
        </w:rPr>
        <w:t xml:space="preserve">Patient Information                                                                                          </w:t>
      </w:r>
      <w:r w:rsidR="00FD4928">
        <w:rPr>
          <w:rFonts w:cs="Arial"/>
          <w:b/>
          <w:sz w:val="24"/>
        </w:rPr>
        <w:t xml:space="preserve">               </w:t>
      </w:r>
    </w:p>
    <w:p w:rsidR="00C35D19" w:rsidRPr="00861257" w:rsidRDefault="00C35D19" w:rsidP="00C35D19">
      <w:pPr>
        <w:spacing w:before="170"/>
        <w:rPr>
          <w:rFonts w:cs="Arial"/>
          <w:b/>
          <w:sz w:val="56"/>
          <w:szCs w:val="56"/>
        </w:rPr>
      </w:pPr>
      <w:r w:rsidRPr="00861257">
        <w:rPr>
          <w:rFonts w:cs="Arial"/>
          <w:b/>
          <w:sz w:val="56"/>
          <w:szCs w:val="56"/>
        </w:rPr>
        <w:t xml:space="preserve"> Intravenous (IV) iron therapy</w:t>
      </w:r>
    </w:p>
    <w:p w:rsidR="00C35D19" w:rsidRPr="00BE334B" w:rsidRDefault="00C35D19" w:rsidP="00C35D19">
      <w:pPr>
        <w:pStyle w:val="Default"/>
      </w:pPr>
    </w:p>
    <w:p w:rsidR="00C35D19" w:rsidRPr="00BE334B" w:rsidRDefault="00C35D19" w:rsidP="00C35D19">
      <w:pPr>
        <w:pStyle w:val="Default"/>
      </w:pPr>
      <w:r w:rsidRPr="00BE334B">
        <w:rPr>
          <w:b/>
          <w:bCs/>
        </w:rPr>
        <w:t xml:space="preserve">What is Iron? </w:t>
      </w:r>
    </w:p>
    <w:p w:rsidR="00C35D19" w:rsidRPr="00BE334B" w:rsidRDefault="00C35D19" w:rsidP="00C35D19">
      <w:pPr>
        <w:pStyle w:val="Default"/>
      </w:pPr>
      <w:r w:rsidRPr="00BE334B">
        <w:t xml:space="preserve">Iron is an essential nutrient for your body. It is an important part of haemoglobin (Hb), the red pigment which gives blood its colour and which carries oxygen around your body. </w:t>
      </w:r>
      <w:r>
        <w:t xml:space="preserve">Iron deficiency is a common cause for anaemia (low haemoglobin levels) </w:t>
      </w:r>
    </w:p>
    <w:p w:rsidR="00C35D19" w:rsidRDefault="00C35D19" w:rsidP="00C35D19">
      <w:pPr>
        <w:pStyle w:val="Default"/>
        <w:rPr>
          <w:sz w:val="23"/>
          <w:szCs w:val="23"/>
        </w:rPr>
      </w:pPr>
    </w:p>
    <w:p w:rsidR="00C35D19" w:rsidRPr="00BE334B" w:rsidRDefault="00C35D19" w:rsidP="00C35D19">
      <w:pPr>
        <w:pStyle w:val="Default"/>
        <w:rPr>
          <w:b/>
          <w:bCs/>
        </w:rPr>
      </w:pPr>
      <w:r w:rsidRPr="00BE334B">
        <w:rPr>
          <w:b/>
          <w:bCs/>
        </w:rPr>
        <w:t>Why do I need Iron infusions?</w:t>
      </w:r>
    </w:p>
    <w:p w:rsidR="00C35D19" w:rsidRPr="00BE334B" w:rsidRDefault="00C35D19" w:rsidP="00C35D19">
      <w:pPr>
        <w:pStyle w:val="Default"/>
      </w:pPr>
      <w:r w:rsidRPr="00BE334B">
        <w:t xml:space="preserve">Your blood results have shown that the amount of iron you have in your blood is low. </w:t>
      </w:r>
    </w:p>
    <w:p w:rsidR="00C35D19" w:rsidRPr="00BE334B" w:rsidRDefault="00C35D19" w:rsidP="00C35D19">
      <w:pPr>
        <w:pStyle w:val="Default"/>
      </w:pPr>
    </w:p>
    <w:p w:rsidR="00C35D19" w:rsidRDefault="00C35D19" w:rsidP="00C35D19">
      <w:pPr>
        <w:pStyle w:val="Default"/>
      </w:pPr>
      <w:r w:rsidRPr="00BE334B">
        <w:t xml:space="preserve">You need iron so your body can make new haemoglobin and red blood cells to carry the oxygen your body requires. </w:t>
      </w:r>
    </w:p>
    <w:p w:rsidR="00C35D19" w:rsidRPr="00BE334B" w:rsidRDefault="00C35D19" w:rsidP="00C35D19">
      <w:pPr>
        <w:pStyle w:val="Default"/>
      </w:pPr>
    </w:p>
    <w:p w:rsidR="00C35D19" w:rsidRDefault="00C35D19" w:rsidP="00C35D19">
      <w:pPr>
        <w:pStyle w:val="Default"/>
      </w:pPr>
      <w:r w:rsidRPr="00BE334B">
        <w:t xml:space="preserve">Treatment usually </w:t>
      </w:r>
      <w:r w:rsidRPr="0076781E">
        <w:rPr>
          <w:color w:val="auto"/>
        </w:rPr>
        <w:t xml:space="preserve">involves taking iron tablets </w:t>
      </w:r>
      <w:r w:rsidRPr="00BE334B">
        <w:t>and changing your diet to increase your iron levels</w:t>
      </w:r>
      <w:r>
        <w:t>. Although if required iron can also be given by intravenous infusion (fluid direct in to your blood stream).</w:t>
      </w:r>
    </w:p>
    <w:p w:rsidR="00C35D19" w:rsidRDefault="00C35D19" w:rsidP="00C35D19">
      <w:pPr>
        <w:pStyle w:val="Default"/>
      </w:pPr>
    </w:p>
    <w:p w:rsidR="00C35D19" w:rsidRPr="00BE334B" w:rsidRDefault="00C35D19" w:rsidP="00C35D19">
      <w:pPr>
        <w:pStyle w:val="Default"/>
      </w:pPr>
      <w:r w:rsidRPr="00BE334B">
        <w:rPr>
          <w:b/>
          <w:bCs/>
        </w:rPr>
        <w:t xml:space="preserve">What are the likely benefits of Iron infusions? </w:t>
      </w:r>
    </w:p>
    <w:p w:rsidR="00C35D19" w:rsidRPr="00BE334B" w:rsidRDefault="00C35D19" w:rsidP="00C35D19">
      <w:pPr>
        <w:pStyle w:val="Default"/>
      </w:pPr>
      <w:r w:rsidRPr="00BE334B">
        <w:t>Your iron level</w:t>
      </w:r>
      <w:r>
        <w:t>s</w:t>
      </w:r>
      <w:r w:rsidRPr="00BE334B">
        <w:t xml:space="preserve"> will increase </w:t>
      </w:r>
      <w:r>
        <w:t>and this will improve your</w:t>
      </w:r>
      <w:r w:rsidRPr="00BE334B">
        <w:t xml:space="preserve"> haemoglobin</w:t>
      </w:r>
      <w:r>
        <w:t xml:space="preserve"> levels and help your anaemia. </w:t>
      </w:r>
      <w:r w:rsidRPr="00BE334B">
        <w:t>You may notice that you are less tired, have more energy, better concentration and become less breathless when taking exercise.</w:t>
      </w:r>
    </w:p>
    <w:p w:rsidR="00C35D19" w:rsidRPr="00BE334B" w:rsidRDefault="00C35D19" w:rsidP="00C35D19">
      <w:pPr>
        <w:pStyle w:val="Default"/>
      </w:pPr>
    </w:p>
    <w:p w:rsidR="00C35D19" w:rsidRPr="00BE334B" w:rsidRDefault="00C35D19" w:rsidP="00C35D19">
      <w:pPr>
        <w:pStyle w:val="Default"/>
        <w:spacing w:after="40"/>
        <w:rPr>
          <w:b/>
        </w:rPr>
      </w:pPr>
      <w:r w:rsidRPr="00BE334B">
        <w:rPr>
          <w:b/>
        </w:rPr>
        <w:t xml:space="preserve">How will the iron be administered? </w:t>
      </w:r>
    </w:p>
    <w:p w:rsidR="00C35D19" w:rsidRPr="00BE334B" w:rsidRDefault="00C35D19" w:rsidP="00C35D19">
      <w:pPr>
        <w:pStyle w:val="Default"/>
      </w:pPr>
      <w:r w:rsidRPr="00BE334B">
        <w:t xml:space="preserve">You will receive the iron by intravenous (IV) infusion – via a drip and pump </w:t>
      </w:r>
      <w:r>
        <w:t xml:space="preserve">into a vein in your arm, </w:t>
      </w:r>
      <w:r w:rsidRPr="00BE334B">
        <w:t xml:space="preserve">which takes approximately </w:t>
      </w:r>
      <w:r>
        <w:t>30 minutes depending</w:t>
      </w:r>
      <w:r w:rsidRPr="00BE334B">
        <w:t xml:space="preserve"> on the amount of iron administered.</w:t>
      </w:r>
    </w:p>
    <w:p w:rsidR="00C35D19" w:rsidRPr="00BE334B" w:rsidRDefault="00C35D19" w:rsidP="00C35D19">
      <w:pPr>
        <w:pStyle w:val="Default"/>
      </w:pPr>
    </w:p>
    <w:p w:rsidR="00C35D19" w:rsidRPr="00BE334B" w:rsidRDefault="00C35D19" w:rsidP="00C35D19">
      <w:pPr>
        <w:pStyle w:val="Default"/>
        <w:spacing w:after="40"/>
        <w:rPr>
          <w:b/>
        </w:rPr>
      </w:pPr>
      <w:r w:rsidRPr="00BE334B">
        <w:rPr>
          <w:b/>
        </w:rPr>
        <w:t xml:space="preserve">Who is not suitable for intravenous iron? </w:t>
      </w:r>
    </w:p>
    <w:p w:rsidR="00C35D19" w:rsidRPr="00BE334B" w:rsidRDefault="00C35D19" w:rsidP="00C35D19">
      <w:pPr>
        <w:pStyle w:val="Default"/>
      </w:pPr>
      <w:r w:rsidRPr="00BE334B">
        <w:t xml:space="preserve">People who are known to be sensitive (allergic) to any iron preparations intended for intramuscular or intravenous administration. </w:t>
      </w:r>
    </w:p>
    <w:p w:rsidR="00C35D19" w:rsidRPr="00BE334B" w:rsidRDefault="00C35D19" w:rsidP="00C35D19">
      <w:pPr>
        <w:pStyle w:val="Default"/>
      </w:pPr>
    </w:p>
    <w:p w:rsidR="00C35D19" w:rsidRPr="00BE334B" w:rsidRDefault="00C35D19" w:rsidP="00C35D19">
      <w:pPr>
        <w:pStyle w:val="Default"/>
      </w:pPr>
      <w:r w:rsidRPr="00BE334B">
        <w:t xml:space="preserve">People who are known to have liver damage. </w:t>
      </w:r>
    </w:p>
    <w:p w:rsidR="00C35D19" w:rsidRPr="00BE334B" w:rsidRDefault="00C35D19" w:rsidP="00C35D19">
      <w:pPr>
        <w:pStyle w:val="Default"/>
      </w:pPr>
    </w:p>
    <w:p w:rsidR="00C35D19" w:rsidRPr="00BE334B" w:rsidRDefault="00C35D19" w:rsidP="00C35D19">
      <w:pPr>
        <w:pStyle w:val="Default"/>
      </w:pPr>
      <w:r w:rsidRPr="00BE334B">
        <w:t xml:space="preserve">People who have any acute or chronic infections. </w:t>
      </w:r>
    </w:p>
    <w:p w:rsidR="00C35D19" w:rsidRDefault="00C35D19" w:rsidP="00C35D19">
      <w:pPr>
        <w:pStyle w:val="Default"/>
        <w:rPr>
          <w:sz w:val="23"/>
          <w:szCs w:val="23"/>
        </w:rPr>
      </w:pPr>
    </w:p>
    <w:p w:rsidR="00C35D19" w:rsidRPr="00BE334B" w:rsidRDefault="00C35D19" w:rsidP="00C35D19">
      <w:pPr>
        <w:pStyle w:val="Default"/>
        <w:spacing w:after="40"/>
        <w:rPr>
          <w:b/>
        </w:rPr>
      </w:pPr>
      <w:r w:rsidRPr="00BE334B">
        <w:rPr>
          <w:b/>
        </w:rPr>
        <w:t xml:space="preserve">What are the risks / side effects of intravenous iron? </w:t>
      </w:r>
    </w:p>
    <w:p w:rsidR="00C35D19" w:rsidRDefault="00C35D19" w:rsidP="00C35D19">
      <w:pPr>
        <w:pStyle w:val="Default"/>
        <w:spacing w:after="37"/>
      </w:pPr>
      <w:r w:rsidRPr="00BE334B">
        <w:t xml:space="preserve">Side effects are </w:t>
      </w:r>
      <w:r>
        <w:t xml:space="preserve">usually </w:t>
      </w:r>
      <w:r w:rsidRPr="00BE334B">
        <w:t>mild, but it is important to report any unusual or unexpected symptoms</w:t>
      </w:r>
      <w:r>
        <w:t xml:space="preserve"> you may be feeling</w:t>
      </w:r>
      <w:r w:rsidRPr="00BE334B">
        <w:t xml:space="preserve"> to the nurse looking after you. </w:t>
      </w:r>
    </w:p>
    <w:p w:rsidR="00C35D19" w:rsidRPr="00BE334B" w:rsidRDefault="00C35D19" w:rsidP="00C35D19">
      <w:pPr>
        <w:pStyle w:val="Default"/>
        <w:spacing w:after="37"/>
      </w:pPr>
      <w:r w:rsidRPr="00BE334B">
        <w:t>The most common</w:t>
      </w:r>
      <w:r>
        <w:t xml:space="preserve"> reaction</w:t>
      </w:r>
      <w:r w:rsidRPr="00BE334B">
        <w:t xml:space="preserve"> is a metallic taste in your mouth. This normally disappears within 15 </w:t>
      </w:r>
      <w:r>
        <w:t>minutes</w:t>
      </w:r>
      <w:r w:rsidRPr="00BE334B">
        <w:t xml:space="preserve">. </w:t>
      </w:r>
    </w:p>
    <w:p w:rsidR="00C35D19" w:rsidRPr="00BE334B" w:rsidRDefault="00C35D19" w:rsidP="00C35D19">
      <w:pPr>
        <w:pStyle w:val="Default"/>
        <w:spacing w:after="37"/>
      </w:pPr>
      <w:r w:rsidRPr="00BE334B">
        <w:t xml:space="preserve">You </w:t>
      </w:r>
      <w:r>
        <w:t>may also</w:t>
      </w:r>
      <w:r w:rsidRPr="00BE334B">
        <w:t xml:space="preserve"> feel light headed, sick or dizzy.</w:t>
      </w:r>
    </w:p>
    <w:p w:rsidR="00C35D19" w:rsidRDefault="00C35D19" w:rsidP="00C35D19">
      <w:pPr>
        <w:pStyle w:val="Default"/>
        <w:spacing w:after="37"/>
      </w:pPr>
      <w:r w:rsidRPr="00BE334B">
        <w:t xml:space="preserve">Other rare side </w:t>
      </w:r>
      <w:r>
        <w:t>e</w:t>
      </w:r>
      <w:r w:rsidRPr="00BE334B">
        <w:t xml:space="preserve">ffects </w:t>
      </w:r>
      <w:r>
        <w:t xml:space="preserve">that </w:t>
      </w:r>
      <w:r w:rsidRPr="00BE334B">
        <w:t xml:space="preserve">you may notice following treatment of iron include lowering of blood pressure, tingling or numbness of the limbs, abdominal discomfort, muscular aches and pains, fever, rashes, skin flushing, swelling of the hands and feet and very rarely, anaphylactic like reactions (e.g. paleness, swollen lips, itchiness, weakness, sweating, </w:t>
      </w:r>
      <w:r w:rsidRPr="00BE334B">
        <w:lastRenderedPageBreak/>
        <w:t xml:space="preserve">dizziness, feeling of tightness in the chest, chest pain, fast pulse, difficulty in breathing). </w:t>
      </w:r>
      <w:r>
        <w:t>Please see details below of who to contact once you have left the hospital.</w:t>
      </w:r>
    </w:p>
    <w:p w:rsidR="00C35D19" w:rsidRPr="00BE334B" w:rsidRDefault="00C35D19" w:rsidP="00C35D19">
      <w:pPr>
        <w:pStyle w:val="Default"/>
        <w:spacing w:after="37"/>
      </w:pPr>
    </w:p>
    <w:p w:rsidR="00C35D19" w:rsidRPr="00BE334B" w:rsidRDefault="00C35D19" w:rsidP="00C35D19">
      <w:pPr>
        <w:pStyle w:val="Default"/>
        <w:spacing w:after="37"/>
        <w:rPr>
          <w:b/>
        </w:rPr>
      </w:pPr>
      <w:r w:rsidRPr="00BE334B">
        <w:rPr>
          <w:b/>
        </w:rPr>
        <w:t>How long will my treatment last?</w:t>
      </w:r>
    </w:p>
    <w:p w:rsidR="00C35D19" w:rsidRPr="00BE334B" w:rsidRDefault="00C35D19" w:rsidP="00C35D19">
      <w:pPr>
        <w:pStyle w:val="Default"/>
      </w:pPr>
      <w:r w:rsidRPr="00BE334B">
        <w:t>The iron infusion will be given over 30 minutes to an hour and you will need to stay in hospital for 30 minutes after the infusion has finished</w:t>
      </w:r>
      <w:r>
        <w:t>;</w:t>
      </w:r>
      <w:r w:rsidRPr="00BE334B">
        <w:t xml:space="preserve"> so expect to be in hospital for about 2 hours</w:t>
      </w:r>
    </w:p>
    <w:p w:rsidR="00C35D19" w:rsidRPr="00BE334B" w:rsidRDefault="00C35D19" w:rsidP="00C35D19">
      <w:pPr>
        <w:pStyle w:val="Default"/>
        <w:rPr>
          <w:b/>
          <w:sz w:val="23"/>
          <w:szCs w:val="23"/>
        </w:rPr>
      </w:pPr>
    </w:p>
    <w:p w:rsidR="00C35D19" w:rsidRPr="00BE334B" w:rsidRDefault="00C35D19" w:rsidP="00C35D19">
      <w:pPr>
        <w:pStyle w:val="Default"/>
        <w:rPr>
          <w:b/>
        </w:rPr>
      </w:pPr>
      <w:r w:rsidRPr="00BE334B">
        <w:rPr>
          <w:b/>
        </w:rPr>
        <w:t>What happen</w:t>
      </w:r>
      <w:r>
        <w:rPr>
          <w:b/>
        </w:rPr>
        <w:t>s</w:t>
      </w:r>
      <w:r w:rsidRPr="00BE334B">
        <w:rPr>
          <w:b/>
        </w:rPr>
        <w:t xml:space="preserve"> after my treatment?</w:t>
      </w:r>
    </w:p>
    <w:p w:rsidR="00C35D19" w:rsidRPr="00BE334B" w:rsidRDefault="00C35D19" w:rsidP="00C35D19">
      <w:pPr>
        <w:pStyle w:val="Default"/>
      </w:pPr>
      <w:r w:rsidRPr="00BE334B">
        <w:t xml:space="preserve">If you were taking iron tablets before your infusion please check with your </w:t>
      </w:r>
      <w:r>
        <w:t>GP</w:t>
      </w:r>
      <w:r w:rsidRPr="00BE334B">
        <w:t xml:space="preserve"> as they are not normally needed after having IV iron</w:t>
      </w:r>
    </w:p>
    <w:p w:rsidR="00C35D19" w:rsidRPr="00BE334B" w:rsidRDefault="00C35D19" w:rsidP="00C35D19">
      <w:pPr>
        <w:pStyle w:val="Default"/>
      </w:pPr>
      <w:r w:rsidRPr="00BE334B">
        <w:t xml:space="preserve">Your GP will ask you to return four weeks after you have had your IV iron to check how well you've responded to the treatment and to have a repeat blood test to check your haemoglobin levels. </w:t>
      </w:r>
    </w:p>
    <w:p w:rsidR="00C35D19" w:rsidRDefault="00C35D19" w:rsidP="00C35D19">
      <w:pPr>
        <w:pStyle w:val="Default"/>
      </w:pPr>
    </w:p>
    <w:p w:rsidR="00C35D19" w:rsidRDefault="00C35D19" w:rsidP="00C35D19">
      <w:pPr>
        <w:pStyle w:val="Default"/>
        <w:rPr>
          <w:b/>
        </w:rPr>
      </w:pPr>
      <w:r>
        <w:rPr>
          <w:b/>
        </w:rPr>
        <w:t>Who to contact for assistance</w:t>
      </w:r>
    </w:p>
    <w:p w:rsidR="00C35D19" w:rsidRPr="00BE334B" w:rsidRDefault="00C35D19" w:rsidP="00C35D19">
      <w:pPr>
        <w:pStyle w:val="Default"/>
        <w:rPr>
          <w:color w:val="FF0000"/>
        </w:rPr>
      </w:pPr>
      <w:r w:rsidRPr="00AA6E30">
        <w:rPr>
          <w:b/>
        </w:rPr>
        <w:t>To obtain assistance in the event of a problem</w:t>
      </w:r>
      <w:r>
        <w:rPr>
          <w:b/>
        </w:rPr>
        <w:t xml:space="preserve"> following your iron infusion</w:t>
      </w:r>
      <w:r w:rsidRPr="00AA6E30">
        <w:rPr>
          <w:b/>
        </w:rPr>
        <w:t>, please contact:</w:t>
      </w:r>
      <w:r w:rsidRPr="00BE334B">
        <w:rPr>
          <w:b/>
        </w:rPr>
        <w:t xml:space="preserve"> </w:t>
      </w:r>
      <w:r w:rsidRPr="00BE334B">
        <w:rPr>
          <w:color w:val="FF0000"/>
        </w:rPr>
        <w:t>(this section to be explained to the patient and completed by staff on discharge)</w:t>
      </w:r>
    </w:p>
    <w:p w:rsidR="00C35D19" w:rsidRPr="00BE334B" w:rsidRDefault="00C35D19" w:rsidP="00C35D19">
      <w:pPr>
        <w:spacing w:before="170"/>
        <w:rPr>
          <w:rFonts w:cs="Arial"/>
          <w:b/>
          <w:sz w:val="24"/>
        </w:rPr>
      </w:pPr>
      <w:r w:rsidRPr="00BE334B">
        <w:rPr>
          <w:rFonts w:cs="Arial"/>
          <w:b/>
          <w:sz w:val="24"/>
        </w:rPr>
        <w:t>G</w:t>
      </w:r>
      <w:r>
        <w:rPr>
          <w:rFonts w:cs="Arial"/>
          <w:b/>
          <w:sz w:val="24"/>
        </w:rPr>
        <w:t>P Surgery-</w:t>
      </w:r>
    </w:p>
    <w:p w:rsidR="00C35D19" w:rsidRPr="00BE334B" w:rsidRDefault="00C35D19" w:rsidP="00C35D19">
      <w:pPr>
        <w:spacing w:before="170"/>
        <w:rPr>
          <w:rFonts w:cs="Arial"/>
          <w:b/>
          <w:sz w:val="24"/>
        </w:rPr>
      </w:pPr>
      <w:r w:rsidRPr="00BE334B">
        <w:rPr>
          <w:rFonts w:cs="Arial"/>
          <w:b/>
          <w:sz w:val="24"/>
        </w:rPr>
        <w:t>Tel no</w:t>
      </w:r>
      <w:r>
        <w:rPr>
          <w:rFonts w:cs="Arial"/>
          <w:b/>
          <w:sz w:val="24"/>
        </w:rPr>
        <w:t>-</w:t>
      </w:r>
    </w:p>
    <w:p w:rsidR="00C35D19" w:rsidRDefault="00C35D19" w:rsidP="00C35D19">
      <w:pPr>
        <w:spacing w:before="170"/>
        <w:rPr>
          <w:rFonts w:cs="Arial"/>
          <w:b/>
          <w:sz w:val="24"/>
        </w:rPr>
      </w:pPr>
      <w:r w:rsidRPr="00BE334B">
        <w:rPr>
          <w:rFonts w:cs="Arial"/>
          <w:b/>
          <w:sz w:val="24"/>
        </w:rPr>
        <w:t>Date and time of Iron infusion</w:t>
      </w:r>
      <w:r>
        <w:rPr>
          <w:rFonts w:cs="Arial"/>
          <w:b/>
          <w:sz w:val="24"/>
        </w:rPr>
        <w:t>-</w:t>
      </w:r>
    </w:p>
    <w:p w:rsidR="00C35D19" w:rsidRDefault="00C35D19" w:rsidP="00C35D19">
      <w:pPr>
        <w:spacing w:before="170"/>
      </w:pPr>
      <w:r>
        <w:rPr>
          <w:rFonts w:cs="Arial"/>
          <w:b/>
          <w:sz w:val="24"/>
        </w:rPr>
        <w:t xml:space="preserve">In the rare event of an emergency (life threatening, for example difficulty with breathing), call 999 for an ambulance and bring this leaflet into hospital with you  </w:t>
      </w:r>
    </w:p>
    <w:p w:rsidR="00C35D19" w:rsidRDefault="00C35D19" w:rsidP="00C35D19">
      <w:pPr>
        <w:spacing w:before="170"/>
      </w:pPr>
      <w:r>
        <w:rPr>
          <w:rFonts w:cs="Arial"/>
          <w:sz w:val="24"/>
        </w:rPr>
        <w:t xml:space="preserve">If you would like further information or advice regarding Iron infusions please discuss this with your GP or Hospital Doctor/Nurse </w:t>
      </w:r>
    </w:p>
    <w:p w:rsidR="00C95609" w:rsidRDefault="00C95609">
      <w:pPr>
        <w:spacing w:after="200"/>
        <w:rPr>
          <w:rFonts w:cs="Arial"/>
          <w:b/>
          <w:color w:val="auto"/>
          <w:sz w:val="24"/>
          <w:szCs w:val="24"/>
        </w:rPr>
        <w:sectPr w:rsidR="00C95609" w:rsidSect="000F1298">
          <w:footerReference w:type="default" r:id="rId23"/>
          <w:type w:val="continuous"/>
          <w:pgSz w:w="11906" w:h="16838"/>
          <w:pgMar w:top="1440" w:right="849" w:bottom="1276" w:left="1440" w:header="708" w:footer="0" w:gutter="0"/>
          <w:cols w:space="708"/>
          <w:docGrid w:linePitch="360"/>
        </w:sectPr>
      </w:pPr>
    </w:p>
    <w:p w:rsidR="00C95609" w:rsidRDefault="00C95609">
      <w:pPr>
        <w:spacing w:after="200"/>
        <w:rPr>
          <w:rFonts w:cs="Arial"/>
          <w:b/>
          <w:color w:val="auto"/>
          <w:sz w:val="24"/>
          <w:szCs w:val="24"/>
        </w:rPr>
      </w:pPr>
    </w:p>
    <w:p w:rsidR="002E7471" w:rsidRPr="00096426" w:rsidRDefault="002E7471" w:rsidP="00096426">
      <w:pPr>
        <w:keepNext/>
        <w:keepLines/>
        <w:spacing w:before="140" w:line="240" w:lineRule="auto"/>
        <w:jc w:val="right"/>
        <w:outlineLvl w:val="0"/>
        <w:rPr>
          <w:rFonts w:eastAsiaTheme="majorEastAsia" w:cstheme="majorBidi"/>
          <w:b/>
          <w:bCs/>
          <w:sz w:val="24"/>
          <w:szCs w:val="24"/>
        </w:rPr>
      </w:pPr>
      <w:r w:rsidRPr="00096426">
        <w:rPr>
          <w:rFonts w:eastAsiaTheme="majorEastAsia" w:cstheme="majorBidi"/>
          <w:b/>
          <w:bCs/>
          <w:sz w:val="24"/>
          <w:szCs w:val="24"/>
        </w:rPr>
        <w:t xml:space="preserve">Appendix </w:t>
      </w:r>
      <w:r w:rsidR="00F77A80">
        <w:rPr>
          <w:rFonts w:eastAsiaTheme="majorEastAsia" w:cstheme="majorBidi"/>
          <w:b/>
          <w:bCs/>
          <w:sz w:val="24"/>
          <w:szCs w:val="24"/>
        </w:rPr>
        <w:t>3</w:t>
      </w:r>
    </w:p>
    <w:p w:rsidR="00F77A80" w:rsidRDefault="002E7471" w:rsidP="00F77A80">
      <w:pPr>
        <w:spacing w:before="170"/>
        <w:rPr>
          <w:rFonts w:cs="Arial"/>
          <w:b/>
          <w:sz w:val="24"/>
        </w:rPr>
      </w:pPr>
      <w:r>
        <w:rPr>
          <w:noProof/>
          <w:lang w:eastAsia="en-GB"/>
        </w:rPr>
        <w:drawing>
          <wp:inline distT="0" distB="0" distL="0" distR="0" wp14:anchorId="172CCE85" wp14:editId="2CFB8069">
            <wp:extent cx="5743575" cy="8013546"/>
            <wp:effectExtent l="0" t="0" r="0"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743575" cy="8013546"/>
                    </a:xfrm>
                    <a:prstGeom prst="rect">
                      <a:avLst/>
                    </a:prstGeom>
                    <a:noFill/>
                    <a:ln w="9525">
                      <a:noFill/>
                      <a:miter lim="800000"/>
                      <a:headEnd/>
                      <a:tailEnd/>
                    </a:ln>
                  </pic:spPr>
                </pic:pic>
              </a:graphicData>
            </a:graphic>
          </wp:inline>
        </w:drawing>
      </w:r>
      <w:r w:rsidR="00F77A80" w:rsidRPr="00F77A80">
        <w:rPr>
          <w:rFonts w:cs="Arial"/>
          <w:b/>
          <w:sz w:val="24"/>
        </w:rPr>
        <w:t xml:space="preserve"> </w:t>
      </w:r>
    </w:p>
    <w:p w:rsidR="00F77A80" w:rsidRDefault="00F77A80" w:rsidP="00F77A80">
      <w:pPr>
        <w:spacing w:before="170"/>
      </w:pPr>
    </w:p>
    <w:sectPr w:rsidR="00F77A80" w:rsidSect="00C95609">
      <w:footerReference w:type="default" r:id="rId25"/>
      <w:pgSz w:w="11906" w:h="16838"/>
      <w:pgMar w:top="1440" w:right="567" w:bottom="1276" w:left="1440" w:header="708"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85" w:rsidRDefault="004E7985">
      <w:pPr>
        <w:spacing w:line="240" w:lineRule="auto"/>
      </w:pPr>
      <w:r>
        <w:separator/>
      </w:r>
    </w:p>
  </w:endnote>
  <w:endnote w:type="continuationSeparator" w:id="0">
    <w:p w:rsidR="004E7985" w:rsidRDefault="004E7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5B" w:rsidRDefault="00A60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955091"/>
      <w:docPartObj>
        <w:docPartGallery w:val="Page Numbers (Bottom of Page)"/>
        <w:docPartUnique/>
      </w:docPartObj>
    </w:sdtPr>
    <w:sdtEndPr>
      <w:rPr>
        <w:noProof/>
      </w:rPr>
    </w:sdtEndPr>
    <w:sdtContent>
      <w:p w:rsidR="00147A16" w:rsidRDefault="00147A16">
        <w:pPr>
          <w:pStyle w:val="Footer"/>
          <w:jc w:val="right"/>
        </w:pPr>
        <w:r>
          <w:fldChar w:fldCharType="begin"/>
        </w:r>
        <w:r>
          <w:instrText xml:space="preserve"> PAGE   \* MERGEFORMAT </w:instrText>
        </w:r>
        <w:r>
          <w:fldChar w:fldCharType="separate"/>
        </w:r>
        <w:r w:rsidR="00424E0D">
          <w:rPr>
            <w:noProof/>
          </w:rPr>
          <w:t>2</w:t>
        </w:r>
        <w:r>
          <w:rPr>
            <w:noProof/>
          </w:rPr>
          <w:fldChar w:fldCharType="end"/>
        </w:r>
      </w:p>
    </w:sdtContent>
  </w:sdt>
  <w:p w:rsidR="00296D5D" w:rsidRPr="00E410FB" w:rsidRDefault="00291F06" w:rsidP="00773874">
    <w:pPr>
      <w:pStyle w:val="Footer"/>
      <w:rPr>
        <w:sz w:val="20"/>
        <w:szCs w:val="20"/>
      </w:rPr>
    </w:pPr>
    <w:r>
      <w:rPr>
        <w:sz w:val="20"/>
        <w:szCs w:val="20"/>
      </w:rPr>
      <w:t>Final July 2017</w:t>
    </w:r>
    <w:r w:rsidR="00280FC4">
      <w:rPr>
        <w:sz w:val="20"/>
        <w:szCs w:val="20"/>
      </w:rPr>
      <w:t xml:space="preserve"> updated </w:t>
    </w:r>
    <w:r w:rsidR="00D02072">
      <w:rPr>
        <w:sz w:val="20"/>
        <w:szCs w:val="20"/>
      </w:rPr>
      <w:t>Oct</w:t>
    </w:r>
    <w:r w:rsidR="0081350A">
      <w:rPr>
        <w:sz w:val="20"/>
        <w:szCs w:val="20"/>
      </w:rPr>
      <w:t xml:space="preserve"> </w:t>
    </w:r>
    <w:r w:rsidR="00CB466D">
      <w:rPr>
        <w:sz w:val="20"/>
        <w:szCs w:val="20"/>
      </w:rPr>
      <w:t>2018</w:t>
    </w:r>
    <w:r w:rsidR="00A60A5B">
      <w:rPr>
        <w:sz w:val="20"/>
        <w:szCs w:val="20"/>
      </w:rPr>
      <w:t xml:space="preserve">  HTT/044 Version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5B" w:rsidRDefault="00A60A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03675"/>
      <w:docPartObj>
        <w:docPartGallery w:val="Page Numbers (Bottom of Page)"/>
        <w:docPartUnique/>
      </w:docPartObj>
    </w:sdtPr>
    <w:sdtEndPr>
      <w:rPr>
        <w:noProof/>
      </w:rPr>
    </w:sdtEndPr>
    <w:sdtContent>
      <w:p w:rsidR="00C95609" w:rsidRDefault="00C95609">
        <w:pPr>
          <w:pStyle w:val="Footer"/>
          <w:jc w:val="right"/>
        </w:pPr>
        <w:r>
          <w:fldChar w:fldCharType="begin"/>
        </w:r>
        <w:r>
          <w:instrText xml:space="preserve"> PAGE   \* MERGEFORMAT </w:instrText>
        </w:r>
        <w:r>
          <w:fldChar w:fldCharType="separate"/>
        </w:r>
        <w:r w:rsidR="00424E0D">
          <w:rPr>
            <w:noProof/>
          </w:rPr>
          <w:t>10</w:t>
        </w:r>
        <w:r>
          <w:rPr>
            <w:noProof/>
          </w:rPr>
          <w:fldChar w:fldCharType="end"/>
        </w:r>
      </w:p>
    </w:sdtContent>
  </w:sdt>
  <w:p w:rsidR="00C95609" w:rsidRPr="00E410FB" w:rsidRDefault="00C95609" w:rsidP="00773874">
    <w:pPr>
      <w:pStyle w:val="Foo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12672"/>
      <w:docPartObj>
        <w:docPartGallery w:val="Page Numbers (Bottom of Page)"/>
        <w:docPartUnique/>
      </w:docPartObj>
    </w:sdtPr>
    <w:sdtEndPr>
      <w:rPr>
        <w:noProof/>
      </w:rPr>
    </w:sdtEndPr>
    <w:sdtContent>
      <w:p w:rsidR="00C95609" w:rsidRDefault="00C95609">
        <w:pPr>
          <w:pStyle w:val="Footer"/>
          <w:jc w:val="right"/>
        </w:pPr>
        <w:r>
          <w:fldChar w:fldCharType="begin"/>
        </w:r>
        <w:r>
          <w:instrText xml:space="preserve"> PAGE   \* MERGEFORMAT </w:instrText>
        </w:r>
        <w:r>
          <w:fldChar w:fldCharType="separate"/>
        </w:r>
        <w:r w:rsidR="00424E0D">
          <w:rPr>
            <w:noProof/>
          </w:rPr>
          <w:t>11</w:t>
        </w:r>
        <w:r>
          <w:rPr>
            <w:noProof/>
          </w:rPr>
          <w:fldChar w:fldCharType="end"/>
        </w:r>
      </w:p>
    </w:sdtContent>
  </w:sdt>
  <w:p w:rsidR="00C95609" w:rsidRPr="00E410FB" w:rsidRDefault="00C95609" w:rsidP="0077387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85" w:rsidRDefault="004E7985">
      <w:pPr>
        <w:spacing w:line="240" w:lineRule="auto"/>
      </w:pPr>
      <w:r>
        <w:separator/>
      </w:r>
    </w:p>
  </w:footnote>
  <w:footnote w:type="continuationSeparator" w:id="0">
    <w:p w:rsidR="004E7985" w:rsidRDefault="004E79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5B" w:rsidRDefault="00A60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D5D" w:rsidRDefault="0094431E" w:rsidP="00862321">
    <w:pPr>
      <w:pStyle w:val="Header"/>
      <w:jc w:val="right"/>
    </w:pPr>
    <w:r w:rsidRPr="00D822CC">
      <w:rPr>
        <w:rFonts w:eastAsia="Times New Roman" w:cs="Times New Roman"/>
        <w:sz w:val="24"/>
        <w:szCs w:val="24"/>
      </w:rP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37.5pt" o:ole="" fillcolor="window">
          <v:imagedata r:id="rId1" o:title=""/>
        </v:shape>
        <o:OLEObject Type="Embed" ProgID="Imaging.Document" ShapeID="_x0000_i1025" DrawAspect="Content" ObjectID="_1604228052"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5B" w:rsidRDefault="00A60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824"/>
    <w:multiLevelType w:val="hybridMultilevel"/>
    <w:tmpl w:val="ABE05A6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0FCC2CCE"/>
    <w:multiLevelType w:val="hybridMultilevel"/>
    <w:tmpl w:val="33360B1C"/>
    <w:lvl w:ilvl="0" w:tplc="7B74A964">
      <w:start w:val="1"/>
      <w:numFmt w:val="bullet"/>
      <w:lvlText w:val="•"/>
      <w:lvlJc w:val="left"/>
      <w:pPr>
        <w:tabs>
          <w:tab w:val="num" w:pos="720"/>
        </w:tabs>
        <w:ind w:left="720" w:hanging="360"/>
      </w:pPr>
      <w:rPr>
        <w:rFonts w:ascii="Times New Roman" w:hAnsi="Times New Roman" w:hint="default"/>
      </w:rPr>
    </w:lvl>
    <w:lvl w:ilvl="1" w:tplc="F9EC9FCE" w:tentative="1">
      <w:start w:val="1"/>
      <w:numFmt w:val="bullet"/>
      <w:lvlText w:val="•"/>
      <w:lvlJc w:val="left"/>
      <w:pPr>
        <w:tabs>
          <w:tab w:val="num" w:pos="1440"/>
        </w:tabs>
        <w:ind w:left="1440" w:hanging="360"/>
      </w:pPr>
      <w:rPr>
        <w:rFonts w:ascii="Times New Roman" w:hAnsi="Times New Roman" w:hint="default"/>
      </w:rPr>
    </w:lvl>
    <w:lvl w:ilvl="2" w:tplc="489C0746" w:tentative="1">
      <w:start w:val="1"/>
      <w:numFmt w:val="bullet"/>
      <w:lvlText w:val="•"/>
      <w:lvlJc w:val="left"/>
      <w:pPr>
        <w:tabs>
          <w:tab w:val="num" w:pos="2160"/>
        </w:tabs>
        <w:ind w:left="2160" w:hanging="360"/>
      </w:pPr>
      <w:rPr>
        <w:rFonts w:ascii="Times New Roman" w:hAnsi="Times New Roman" w:hint="default"/>
      </w:rPr>
    </w:lvl>
    <w:lvl w:ilvl="3" w:tplc="4C2492DC" w:tentative="1">
      <w:start w:val="1"/>
      <w:numFmt w:val="bullet"/>
      <w:lvlText w:val="•"/>
      <w:lvlJc w:val="left"/>
      <w:pPr>
        <w:tabs>
          <w:tab w:val="num" w:pos="2880"/>
        </w:tabs>
        <w:ind w:left="2880" w:hanging="360"/>
      </w:pPr>
      <w:rPr>
        <w:rFonts w:ascii="Times New Roman" w:hAnsi="Times New Roman" w:hint="default"/>
      </w:rPr>
    </w:lvl>
    <w:lvl w:ilvl="4" w:tplc="8DAECF7A" w:tentative="1">
      <w:start w:val="1"/>
      <w:numFmt w:val="bullet"/>
      <w:lvlText w:val="•"/>
      <w:lvlJc w:val="left"/>
      <w:pPr>
        <w:tabs>
          <w:tab w:val="num" w:pos="3600"/>
        </w:tabs>
        <w:ind w:left="3600" w:hanging="360"/>
      </w:pPr>
      <w:rPr>
        <w:rFonts w:ascii="Times New Roman" w:hAnsi="Times New Roman" w:hint="default"/>
      </w:rPr>
    </w:lvl>
    <w:lvl w:ilvl="5" w:tplc="031238D2" w:tentative="1">
      <w:start w:val="1"/>
      <w:numFmt w:val="bullet"/>
      <w:lvlText w:val="•"/>
      <w:lvlJc w:val="left"/>
      <w:pPr>
        <w:tabs>
          <w:tab w:val="num" w:pos="4320"/>
        </w:tabs>
        <w:ind w:left="4320" w:hanging="360"/>
      </w:pPr>
      <w:rPr>
        <w:rFonts w:ascii="Times New Roman" w:hAnsi="Times New Roman" w:hint="default"/>
      </w:rPr>
    </w:lvl>
    <w:lvl w:ilvl="6" w:tplc="3C0C2C22" w:tentative="1">
      <w:start w:val="1"/>
      <w:numFmt w:val="bullet"/>
      <w:lvlText w:val="•"/>
      <w:lvlJc w:val="left"/>
      <w:pPr>
        <w:tabs>
          <w:tab w:val="num" w:pos="5040"/>
        </w:tabs>
        <w:ind w:left="5040" w:hanging="360"/>
      </w:pPr>
      <w:rPr>
        <w:rFonts w:ascii="Times New Roman" w:hAnsi="Times New Roman" w:hint="default"/>
      </w:rPr>
    </w:lvl>
    <w:lvl w:ilvl="7" w:tplc="90A0BCAA" w:tentative="1">
      <w:start w:val="1"/>
      <w:numFmt w:val="bullet"/>
      <w:lvlText w:val="•"/>
      <w:lvlJc w:val="left"/>
      <w:pPr>
        <w:tabs>
          <w:tab w:val="num" w:pos="5760"/>
        </w:tabs>
        <w:ind w:left="5760" w:hanging="360"/>
      </w:pPr>
      <w:rPr>
        <w:rFonts w:ascii="Times New Roman" w:hAnsi="Times New Roman" w:hint="default"/>
      </w:rPr>
    </w:lvl>
    <w:lvl w:ilvl="8" w:tplc="7C6A79A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130DE3"/>
    <w:multiLevelType w:val="hybridMultilevel"/>
    <w:tmpl w:val="FEF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C0444"/>
    <w:multiLevelType w:val="hybridMultilevel"/>
    <w:tmpl w:val="C36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702032"/>
    <w:multiLevelType w:val="hybridMultilevel"/>
    <w:tmpl w:val="C84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7C4516"/>
    <w:multiLevelType w:val="hybridMultilevel"/>
    <w:tmpl w:val="1F5E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652CF"/>
    <w:multiLevelType w:val="hybridMultilevel"/>
    <w:tmpl w:val="34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5A7B39"/>
    <w:multiLevelType w:val="hybridMultilevel"/>
    <w:tmpl w:val="18945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3172A"/>
    <w:multiLevelType w:val="hybridMultilevel"/>
    <w:tmpl w:val="CA14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DA5C3E"/>
    <w:multiLevelType w:val="hybridMultilevel"/>
    <w:tmpl w:val="E640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2149EF"/>
    <w:multiLevelType w:val="hybridMultilevel"/>
    <w:tmpl w:val="004847AA"/>
    <w:lvl w:ilvl="0" w:tplc="08090001">
      <w:start w:val="1"/>
      <w:numFmt w:val="bullet"/>
      <w:lvlText w:val=""/>
      <w:lvlJc w:val="left"/>
      <w:pPr>
        <w:ind w:left="720" w:hanging="360"/>
      </w:pPr>
      <w:rPr>
        <w:rFonts w:ascii="Symbol" w:hAnsi="Symbol" w:hint="default"/>
      </w:rPr>
    </w:lvl>
    <w:lvl w:ilvl="1" w:tplc="98D80D1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822227"/>
    <w:multiLevelType w:val="hybridMultilevel"/>
    <w:tmpl w:val="C03E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02449A"/>
    <w:multiLevelType w:val="hybridMultilevel"/>
    <w:tmpl w:val="F33C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9C451F"/>
    <w:multiLevelType w:val="hybridMultilevel"/>
    <w:tmpl w:val="D952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B87079"/>
    <w:multiLevelType w:val="hybridMultilevel"/>
    <w:tmpl w:val="3F74D2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4C7AEB"/>
    <w:multiLevelType w:val="hybridMultilevel"/>
    <w:tmpl w:val="65284B70"/>
    <w:lvl w:ilvl="0" w:tplc="147AFA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9B4E68"/>
    <w:multiLevelType w:val="hybridMultilevel"/>
    <w:tmpl w:val="780E266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6A643BC4"/>
    <w:multiLevelType w:val="hybridMultilevel"/>
    <w:tmpl w:val="2826A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9F6D65"/>
    <w:multiLevelType w:val="hybridMultilevel"/>
    <w:tmpl w:val="FBD6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4"/>
  </w:num>
  <w:num w:numId="5">
    <w:abstractNumId w:val="5"/>
  </w:num>
  <w:num w:numId="6">
    <w:abstractNumId w:val="17"/>
  </w:num>
  <w:num w:numId="7">
    <w:abstractNumId w:val="13"/>
  </w:num>
  <w:num w:numId="8">
    <w:abstractNumId w:val="10"/>
  </w:num>
  <w:num w:numId="9">
    <w:abstractNumId w:val="8"/>
  </w:num>
  <w:num w:numId="10">
    <w:abstractNumId w:val="18"/>
  </w:num>
  <w:num w:numId="11">
    <w:abstractNumId w:val="16"/>
  </w:num>
  <w:num w:numId="12">
    <w:abstractNumId w:val="0"/>
  </w:num>
  <w:num w:numId="13">
    <w:abstractNumId w:val="2"/>
  </w:num>
  <w:num w:numId="14">
    <w:abstractNumId w:val="9"/>
  </w:num>
  <w:num w:numId="15">
    <w:abstractNumId w:val="12"/>
  </w:num>
  <w:num w:numId="16">
    <w:abstractNumId w:val="15"/>
  </w:num>
  <w:num w:numId="17">
    <w:abstractNumId w:val="4"/>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14"/>
    <w:rsid w:val="00020062"/>
    <w:rsid w:val="00025473"/>
    <w:rsid w:val="00096426"/>
    <w:rsid w:val="000D5D11"/>
    <w:rsid w:val="000F1298"/>
    <w:rsid w:val="00147A16"/>
    <w:rsid w:val="00154508"/>
    <w:rsid w:val="0016298C"/>
    <w:rsid w:val="001912F1"/>
    <w:rsid w:val="0019500B"/>
    <w:rsid w:val="001B2E26"/>
    <w:rsid w:val="001C793E"/>
    <w:rsid w:val="00224053"/>
    <w:rsid w:val="00256FD3"/>
    <w:rsid w:val="0025724F"/>
    <w:rsid w:val="00280FC4"/>
    <w:rsid w:val="00291F06"/>
    <w:rsid w:val="002D2890"/>
    <w:rsid w:val="002E7471"/>
    <w:rsid w:val="002F4207"/>
    <w:rsid w:val="00327218"/>
    <w:rsid w:val="00331633"/>
    <w:rsid w:val="0034600B"/>
    <w:rsid w:val="00351E59"/>
    <w:rsid w:val="003672BC"/>
    <w:rsid w:val="003948D9"/>
    <w:rsid w:val="00415889"/>
    <w:rsid w:val="004202FB"/>
    <w:rsid w:val="004247F5"/>
    <w:rsid w:val="00424E0D"/>
    <w:rsid w:val="00430201"/>
    <w:rsid w:val="00446919"/>
    <w:rsid w:val="00473588"/>
    <w:rsid w:val="004850BD"/>
    <w:rsid w:val="004A5900"/>
    <w:rsid w:val="004A5B31"/>
    <w:rsid w:val="004B14C6"/>
    <w:rsid w:val="004B3C14"/>
    <w:rsid w:val="004E7985"/>
    <w:rsid w:val="005017F9"/>
    <w:rsid w:val="0051060E"/>
    <w:rsid w:val="00516333"/>
    <w:rsid w:val="005218AE"/>
    <w:rsid w:val="00532C28"/>
    <w:rsid w:val="005742A6"/>
    <w:rsid w:val="005956C0"/>
    <w:rsid w:val="005C6636"/>
    <w:rsid w:val="005D07D1"/>
    <w:rsid w:val="006174ED"/>
    <w:rsid w:val="00626C3D"/>
    <w:rsid w:val="00674E5B"/>
    <w:rsid w:val="00676B5A"/>
    <w:rsid w:val="006C1FE6"/>
    <w:rsid w:val="006D4780"/>
    <w:rsid w:val="006F4AA6"/>
    <w:rsid w:val="007054BF"/>
    <w:rsid w:val="00714519"/>
    <w:rsid w:val="00722335"/>
    <w:rsid w:val="00724531"/>
    <w:rsid w:val="00785884"/>
    <w:rsid w:val="007A6701"/>
    <w:rsid w:val="007D7273"/>
    <w:rsid w:val="0081350A"/>
    <w:rsid w:val="00825F66"/>
    <w:rsid w:val="008304C6"/>
    <w:rsid w:val="008A7655"/>
    <w:rsid w:val="008B2C09"/>
    <w:rsid w:val="009058C6"/>
    <w:rsid w:val="009172A8"/>
    <w:rsid w:val="0094431E"/>
    <w:rsid w:val="00977E26"/>
    <w:rsid w:val="009C5ED9"/>
    <w:rsid w:val="009E4A58"/>
    <w:rsid w:val="009E4C92"/>
    <w:rsid w:val="00A43C84"/>
    <w:rsid w:val="00A60A5B"/>
    <w:rsid w:val="00A66E7D"/>
    <w:rsid w:val="00A719BA"/>
    <w:rsid w:val="00A87A8E"/>
    <w:rsid w:val="00AB68D7"/>
    <w:rsid w:val="00B00E98"/>
    <w:rsid w:val="00B03B90"/>
    <w:rsid w:val="00B15996"/>
    <w:rsid w:val="00B455FF"/>
    <w:rsid w:val="00B80E42"/>
    <w:rsid w:val="00BE71C0"/>
    <w:rsid w:val="00C11824"/>
    <w:rsid w:val="00C35D19"/>
    <w:rsid w:val="00C51914"/>
    <w:rsid w:val="00C95609"/>
    <w:rsid w:val="00CB466D"/>
    <w:rsid w:val="00CB52FA"/>
    <w:rsid w:val="00D02072"/>
    <w:rsid w:val="00D020E9"/>
    <w:rsid w:val="00D639EC"/>
    <w:rsid w:val="00D822CC"/>
    <w:rsid w:val="00D9120B"/>
    <w:rsid w:val="00DC1190"/>
    <w:rsid w:val="00E4722B"/>
    <w:rsid w:val="00EA23F0"/>
    <w:rsid w:val="00EB0A72"/>
    <w:rsid w:val="00ED74B2"/>
    <w:rsid w:val="00EE4191"/>
    <w:rsid w:val="00EF66FB"/>
    <w:rsid w:val="00F77A80"/>
    <w:rsid w:val="00F82222"/>
    <w:rsid w:val="00FD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F5"/>
    <w:pPr>
      <w:spacing w:after="0"/>
    </w:pPr>
    <w:rPr>
      <w:rFonts w:ascii="Arial" w:hAnsi="Arial"/>
      <w:color w:val="000000" w:themeColor="text1"/>
    </w:rPr>
  </w:style>
  <w:style w:type="paragraph" w:styleId="Heading1">
    <w:name w:val="heading 1"/>
    <w:basedOn w:val="Normal"/>
    <w:next w:val="Normal"/>
    <w:link w:val="Heading1Char"/>
    <w:uiPriority w:val="9"/>
    <w:qFormat/>
    <w:rsid w:val="004B14C6"/>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4B14C6"/>
    <w:pPr>
      <w:keepNext/>
      <w:keepLines/>
      <w:spacing w:before="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0E98"/>
    <w:pPr>
      <w:tabs>
        <w:tab w:val="left" w:pos="660"/>
        <w:tab w:val="left" w:pos="851"/>
        <w:tab w:val="right" w:leader="dot" w:pos="9017"/>
      </w:tabs>
      <w:spacing w:after="100" w:line="240" w:lineRule="auto"/>
    </w:pPr>
    <w:rPr>
      <w:rFonts w:eastAsia="Times New Roman"/>
      <w:b/>
      <w:noProof/>
    </w:rPr>
  </w:style>
  <w:style w:type="paragraph" w:styleId="Header">
    <w:name w:val="header"/>
    <w:basedOn w:val="Normal"/>
    <w:link w:val="HeaderChar"/>
    <w:uiPriority w:val="99"/>
    <w:unhideWhenUsed/>
    <w:rsid w:val="00D822CC"/>
    <w:pPr>
      <w:tabs>
        <w:tab w:val="center" w:pos="4513"/>
        <w:tab w:val="right" w:pos="9026"/>
      </w:tabs>
      <w:spacing w:line="240" w:lineRule="auto"/>
    </w:pPr>
  </w:style>
  <w:style w:type="character" w:customStyle="1" w:styleId="HeaderChar">
    <w:name w:val="Header Char"/>
    <w:basedOn w:val="DefaultParagraphFont"/>
    <w:link w:val="Header"/>
    <w:uiPriority w:val="99"/>
    <w:rsid w:val="00D822CC"/>
  </w:style>
  <w:style w:type="paragraph" w:styleId="Footer">
    <w:name w:val="footer"/>
    <w:basedOn w:val="Normal"/>
    <w:link w:val="FooterChar"/>
    <w:uiPriority w:val="99"/>
    <w:unhideWhenUsed/>
    <w:rsid w:val="00D822CC"/>
    <w:pPr>
      <w:tabs>
        <w:tab w:val="center" w:pos="4513"/>
        <w:tab w:val="right" w:pos="9026"/>
      </w:tabs>
      <w:spacing w:line="240" w:lineRule="auto"/>
    </w:pPr>
  </w:style>
  <w:style w:type="character" w:customStyle="1" w:styleId="FooterChar">
    <w:name w:val="Footer Char"/>
    <w:basedOn w:val="DefaultParagraphFont"/>
    <w:link w:val="Footer"/>
    <w:uiPriority w:val="99"/>
    <w:rsid w:val="00D822CC"/>
  </w:style>
  <w:style w:type="table" w:customStyle="1" w:styleId="TableGrid1">
    <w:name w:val="Table Grid1"/>
    <w:basedOn w:val="TableNormal"/>
    <w:next w:val="TableGrid"/>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CC"/>
    <w:rPr>
      <w:rFonts w:ascii="Tahoma" w:hAnsi="Tahoma" w:cs="Tahoma"/>
      <w:sz w:val="16"/>
      <w:szCs w:val="16"/>
    </w:rPr>
  </w:style>
  <w:style w:type="character" w:customStyle="1" w:styleId="Heading1Char">
    <w:name w:val="Heading 1 Char"/>
    <w:basedOn w:val="DefaultParagraphFont"/>
    <w:link w:val="Heading1"/>
    <w:uiPriority w:val="9"/>
    <w:rsid w:val="004B14C6"/>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semiHidden/>
    <w:rsid w:val="004B14C6"/>
    <w:rPr>
      <w:rFonts w:ascii="Arial" w:eastAsiaTheme="majorEastAsia" w:hAnsi="Arial" w:cstheme="majorBidi"/>
      <w:b/>
      <w:bCs/>
      <w:color w:val="000000" w:themeColor="text1"/>
      <w:szCs w:val="26"/>
    </w:rPr>
  </w:style>
  <w:style w:type="character" w:styleId="CommentReference">
    <w:name w:val="annotation reference"/>
    <w:basedOn w:val="DefaultParagraphFont"/>
    <w:uiPriority w:val="99"/>
    <w:semiHidden/>
    <w:unhideWhenUsed/>
    <w:rsid w:val="00020062"/>
    <w:rPr>
      <w:sz w:val="16"/>
      <w:szCs w:val="16"/>
    </w:rPr>
  </w:style>
  <w:style w:type="paragraph" w:styleId="CommentText">
    <w:name w:val="annotation text"/>
    <w:basedOn w:val="Normal"/>
    <w:link w:val="CommentTextChar"/>
    <w:uiPriority w:val="99"/>
    <w:semiHidden/>
    <w:unhideWhenUsed/>
    <w:rsid w:val="00020062"/>
    <w:pPr>
      <w:spacing w:after="20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020062"/>
    <w:rPr>
      <w:sz w:val="20"/>
      <w:szCs w:val="20"/>
    </w:rPr>
  </w:style>
  <w:style w:type="paragraph" w:styleId="ListParagraph">
    <w:name w:val="List Paragraph"/>
    <w:basedOn w:val="Normal"/>
    <w:uiPriority w:val="34"/>
    <w:qFormat/>
    <w:rsid w:val="002D2890"/>
    <w:pPr>
      <w:spacing w:line="240" w:lineRule="auto"/>
      <w:ind w:left="720"/>
      <w:contextualSpacing/>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1C793E"/>
    <w:rPr>
      <w:color w:val="0000FF" w:themeColor="hyperlink"/>
      <w:u w:val="single"/>
    </w:rPr>
  </w:style>
  <w:style w:type="paragraph" w:customStyle="1" w:styleId="Default">
    <w:name w:val="Default"/>
    <w:rsid w:val="004247F5"/>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94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6919"/>
    <w:pPr>
      <w:spacing w:after="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44691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A719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F5"/>
    <w:pPr>
      <w:spacing w:after="0"/>
    </w:pPr>
    <w:rPr>
      <w:rFonts w:ascii="Arial" w:hAnsi="Arial"/>
      <w:color w:val="000000" w:themeColor="text1"/>
    </w:rPr>
  </w:style>
  <w:style w:type="paragraph" w:styleId="Heading1">
    <w:name w:val="heading 1"/>
    <w:basedOn w:val="Normal"/>
    <w:next w:val="Normal"/>
    <w:link w:val="Heading1Char"/>
    <w:uiPriority w:val="9"/>
    <w:qFormat/>
    <w:rsid w:val="004B14C6"/>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4B14C6"/>
    <w:pPr>
      <w:keepNext/>
      <w:keepLines/>
      <w:spacing w:before="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0E98"/>
    <w:pPr>
      <w:tabs>
        <w:tab w:val="left" w:pos="660"/>
        <w:tab w:val="left" w:pos="851"/>
        <w:tab w:val="right" w:leader="dot" w:pos="9017"/>
      </w:tabs>
      <w:spacing w:after="100" w:line="240" w:lineRule="auto"/>
    </w:pPr>
    <w:rPr>
      <w:rFonts w:eastAsia="Times New Roman"/>
      <w:b/>
      <w:noProof/>
    </w:rPr>
  </w:style>
  <w:style w:type="paragraph" w:styleId="Header">
    <w:name w:val="header"/>
    <w:basedOn w:val="Normal"/>
    <w:link w:val="HeaderChar"/>
    <w:uiPriority w:val="99"/>
    <w:unhideWhenUsed/>
    <w:rsid w:val="00D822CC"/>
    <w:pPr>
      <w:tabs>
        <w:tab w:val="center" w:pos="4513"/>
        <w:tab w:val="right" w:pos="9026"/>
      </w:tabs>
      <w:spacing w:line="240" w:lineRule="auto"/>
    </w:pPr>
  </w:style>
  <w:style w:type="character" w:customStyle="1" w:styleId="HeaderChar">
    <w:name w:val="Header Char"/>
    <w:basedOn w:val="DefaultParagraphFont"/>
    <w:link w:val="Header"/>
    <w:uiPriority w:val="99"/>
    <w:rsid w:val="00D822CC"/>
  </w:style>
  <w:style w:type="paragraph" w:styleId="Footer">
    <w:name w:val="footer"/>
    <w:basedOn w:val="Normal"/>
    <w:link w:val="FooterChar"/>
    <w:uiPriority w:val="99"/>
    <w:unhideWhenUsed/>
    <w:rsid w:val="00D822CC"/>
    <w:pPr>
      <w:tabs>
        <w:tab w:val="center" w:pos="4513"/>
        <w:tab w:val="right" w:pos="9026"/>
      </w:tabs>
      <w:spacing w:line="240" w:lineRule="auto"/>
    </w:pPr>
  </w:style>
  <w:style w:type="character" w:customStyle="1" w:styleId="FooterChar">
    <w:name w:val="Footer Char"/>
    <w:basedOn w:val="DefaultParagraphFont"/>
    <w:link w:val="Footer"/>
    <w:uiPriority w:val="99"/>
    <w:rsid w:val="00D822CC"/>
  </w:style>
  <w:style w:type="table" w:customStyle="1" w:styleId="TableGrid1">
    <w:name w:val="Table Grid1"/>
    <w:basedOn w:val="TableNormal"/>
    <w:next w:val="TableGrid"/>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CC"/>
    <w:rPr>
      <w:rFonts w:ascii="Tahoma" w:hAnsi="Tahoma" w:cs="Tahoma"/>
      <w:sz w:val="16"/>
      <w:szCs w:val="16"/>
    </w:rPr>
  </w:style>
  <w:style w:type="character" w:customStyle="1" w:styleId="Heading1Char">
    <w:name w:val="Heading 1 Char"/>
    <w:basedOn w:val="DefaultParagraphFont"/>
    <w:link w:val="Heading1"/>
    <w:uiPriority w:val="9"/>
    <w:rsid w:val="004B14C6"/>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semiHidden/>
    <w:rsid w:val="004B14C6"/>
    <w:rPr>
      <w:rFonts w:ascii="Arial" w:eastAsiaTheme="majorEastAsia" w:hAnsi="Arial" w:cstheme="majorBidi"/>
      <w:b/>
      <w:bCs/>
      <w:color w:val="000000" w:themeColor="text1"/>
      <w:szCs w:val="26"/>
    </w:rPr>
  </w:style>
  <w:style w:type="character" w:styleId="CommentReference">
    <w:name w:val="annotation reference"/>
    <w:basedOn w:val="DefaultParagraphFont"/>
    <w:uiPriority w:val="99"/>
    <w:semiHidden/>
    <w:unhideWhenUsed/>
    <w:rsid w:val="00020062"/>
    <w:rPr>
      <w:sz w:val="16"/>
      <w:szCs w:val="16"/>
    </w:rPr>
  </w:style>
  <w:style w:type="paragraph" w:styleId="CommentText">
    <w:name w:val="annotation text"/>
    <w:basedOn w:val="Normal"/>
    <w:link w:val="CommentTextChar"/>
    <w:uiPriority w:val="99"/>
    <w:semiHidden/>
    <w:unhideWhenUsed/>
    <w:rsid w:val="00020062"/>
    <w:pPr>
      <w:spacing w:after="20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020062"/>
    <w:rPr>
      <w:sz w:val="20"/>
      <w:szCs w:val="20"/>
    </w:rPr>
  </w:style>
  <w:style w:type="paragraph" w:styleId="ListParagraph">
    <w:name w:val="List Paragraph"/>
    <w:basedOn w:val="Normal"/>
    <w:uiPriority w:val="34"/>
    <w:qFormat/>
    <w:rsid w:val="002D2890"/>
    <w:pPr>
      <w:spacing w:line="240" w:lineRule="auto"/>
      <w:ind w:left="720"/>
      <w:contextualSpacing/>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1C793E"/>
    <w:rPr>
      <w:color w:val="0000FF" w:themeColor="hyperlink"/>
      <w:u w:val="single"/>
    </w:rPr>
  </w:style>
  <w:style w:type="paragraph" w:customStyle="1" w:styleId="Default">
    <w:name w:val="Default"/>
    <w:rsid w:val="004247F5"/>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94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6919"/>
    <w:pPr>
      <w:spacing w:after="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44691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A71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6844">
      <w:bodyDiv w:val="1"/>
      <w:marLeft w:val="0"/>
      <w:marRight w:val="0"/>
      <w:marTop w:val="0"/>
      <w:marBottom w:val="0"/>
      <w:divBdr>
        <w:top w:val="none" w:sz="0" w:space="0" w:color="auto"/>
        <w:left w:val="none" w:sz="0" w:space="0" w:color="auto"/>
        <w:bottom w:val="none" w:sz="0" w:space="0" w:color="auto"/>
        <w:right w:val="none" w:sz="0" w:space="0" w:color="auto"/>
      </w:divBdr>
    </w:div>
    <w:div w:id="906113495">
      <w:bodyDiv w:val="1"/>
      <w:marLeft w:val="0"/>
      <w:marRight w:val="0"/>
      <w:marTop w:val="0"/>
      <w:marBottom w:val="0"/>
      <w:divBdr>
        <w:top w:val="none" w:sz="0" w:space="0" w:color="auto"/>
        <w:left w:val="none" w:sz="0" w:space="0" w:color="auto"/>
        <w:bottom w:val="none" w:sz="0" w:space="0" w:color="auto"/>
        <w:right w:val="none" w:sz="0" w:space="0" w:color="auto"/>
      </w:divBdr>
    </w:div>
    <w:div w:id="1004749819">
      <w:bodyDiv w:val="1"/>
      <w:marLeft w:val="0"/>
      <w:marRight w:val="0"/>
      <w:marTop w:val="0"/>
      <w:marBottom w:val="0"/>
      <w:divBdr>
        <w:top w:val="none" w:sz="0" w:space="0" w:color="auto"/>
        <w:left w:val="none" w:sz="0" w:space="0" w:color="auto"/>
        <w:bottom w:val="none" w:sz="0" w:space="0" w:color="auto"/>
        <w:right w:val="none" w:sz="0" w:space="0" w:color="auto"/>
      </w:divBdr>
      <w:divsChild>
        <w:div w:id="302663800">
          <w:marLeft w:val="0"/>
          <w:marRight w:val="0"/>
          <w:marTop w:val="0"/>
          <w:marBottom w:val="0"/>
          <w:divBdr>
            <w:top w:val="none" w:sz="0" w:space="0" w:color="auto"/>
            <w:left w:val="none" w:sz="0" w:space="0" w:color="auto"/>
            <w:bottom w:val="none" w:sz="0" w:space="0" w:color="auto"/>
            <w:right w:val="none" w:sz="0" w:space="0" w:color="auto"/>
          </w:divBdr>
          <w:divsChild>
            <w:div w:id="518158849">
              <w:marLeft w:val="0"/>
              <w:marRight w:val="0"/>
              <w:marTop w:val="0"/>
              <w:marBottom w:val="0"/>
              <w:divBdr>
                <w:top w:val="none" w:sz="0" w:space="0" w:color="auto"/>
                <w:left w:val="none" w:sz="0" w:space="0" w:color="auto"/>
                <w:bottom w:val="none" w:sz="0" w:space="0" w:color="auto"/>
                <w:right w:val="none" w:sz="0" w:space="0" w:color="auto"/>
              </w:divBdr>
              <w:divsChild>
                <w:div w:id="219438441">
                  <w:marLeft w:val="0"/>
                  <w:marRight w:val="0"/>
                  <w:marTop w:val="0"/>
                  <w:marBottom w:val="0"/>
                  <w:divBdr>
                    <w:top w:val="none" w:sz="0" w:space="0" w:color="auto"/>
                    <w:left w:val="none" w:sz="0" w:space="0" w:color="auto"/>
                    <w:bottom w:val="none" w:sz="0" w:space="0" w:color="auto"/>
                    <w:right w:val="none" w:sz="0" w:space="0" w:color="auto"/>
                  </w:divBdr>
                  <w:divsChild>
                    <w:div w:id="984047203">
                      <w:marLeft w:val="0"/>
                      <w:marRight w:val="0"/>
                      <w:marTop w:val="0"/>
                      <w:marBottom w:val="0"/>
                      <w:divBdr>
                        <w:top w:val="none" w:sz="0" w:space="0" w:color="auto"/>
                        <w:left w:val="none" w:sz="0" w:space="0" w:color="auto"/>
                        <w:bottom w:val="none" w:sz="0" w:space="0" w:color="auto"/>
                        <w:right w:val="none" w:sz="0" w:space="0" w:color="auto"/>
                      </w:divBdr>
                      <w:divsChild>
                        <w:div w:id="149640927">
                          <w:marLeft w:val="0"/>
                          <w:marRight w:val="0"/>
                          <w:marTop w:val="0"/>
                          <w:marBottom w:val="0"/>
                          <w:divBdr>
                            <w:top w:val="none" w:sz="0" w:space="0" w:color="auto"/>
                            <w:left w:val="none" w:sz="0" w:space="0" w:color="auto"/>
                            <w:bottom w:val="none" w:sz="0" w:space="0" w:color="auto"/>
                            <w:right w:val="none" w:sz="0" w:space="0" w:color="auto"/>
                          </w:divBdr>
                          <w:divsChild>
                            <w:div w:id="1176532930">
                              <w:marLeft w:val="0"/>
                              <w:marRight w:val="0"/>
                              <w:marTop w:val="0"/>
                              <w:marBottom w:val="0"/>
                              <w:divBdr>
                                <w:top w:val="none" w:sz="0" w:space="0" w:color="auto"/>
                                <w:left w:val="none" w:sz="0" w:space="0" w:color="auto"/>
                                <w:bottom w:val="none" w:sz="0" w:space="0" w:color="auto"/>
                                <w:right w:val="none" w:sz="0" w:space="0" w:color="auto"/>
                              </w:divBdr>
                              <w:divsChild>
                                <w:div w:id="1671055557">
                                  <w:marLeft w:val="0"/>
                                  <w:marRight w:val="0"/>
                                  <w:marTop w:val="0"/>
                                  <w:marBottom w:val="0"/>
                                  <w:divBdr>
                                    <w:top w:val="none" w:sz="0" w:space="0" w:color="auto"/>
                                    <w:left w:val="none" w:sz="0" w:space="0" w:color="auto"/>
                                    <w:bottom w:val="none" w:sz="0" w:space="0" w:color="auto"/>
                                    <w:right w:val="none" w:sz="0" w:space="0" w:color="auto"/>
                                  </w:divBdr>
                                  <w:divsChild>
                                    <w:div w:id="532965703">
                                      <w:marLeft w:val="0"/>
                                      <w:marRight w:val="0"/>
                                      <w:marTop w:val="0"/>
                                      <w:marBottom w:val="0"/>
                                      <w:divBdr>
                                        <w:top w:val="none" w:sz="0" w:space="0" w:color="auto"/>
                                        <w:left w:val="none" w:sz="0" w:space="0" w:color="auto"/>
                                        <w:bottom w:val="none" w:sz="0" w:space="0" w:color="auto"/>
                                        <w:right w:val="none" w:sz="0" w:space="0" w:color="auto"/>
                                      </w:divBdr>
                                      <w:divsChild>
                                        <w:div w:id="217666446">
                                          <w:marLeft w:val="0"/>
                                          <w:marRight w:val="0"/>
                                          <w:marTop w:val="0"/>
                                          <w:marBottom w:val="0"/>
                                          <w:divBdr>
                                            <w:top w:val="none" w:sz="0" w:space="0" w:color="auto"/>
                                            <w:left w:val="single" w:sz="6" w:space="0" w:color="999999"/>
                                            <w:bottom w:val="none" w:sz="0" w:space="0" w:color="auto"/>
                                            <w:right w:val="none" w:sz="0" w:space="0" w:color="auto"/>
                                          </w:divBdr>
                                          <w:divsChild>
                                            <w:div w:id="1424960222">
                                              <w:marLeft w:val="0"/>
                                              <w:marRight w:val="0"/>
                                              <w:marTop w:val="150"/>
                                              <w:marBottom w:val="150"/>
                                              <w:divBdr>
                                                <w:top w:val="none" w:sz="0" w:space="0" w:color="auto"/>
                                                <w:left w:val="none" w:sz="0" w:space="0" w:color="auto"/>
                                                <w:bottom w:val="none" w:sz="0" w:space="0" w:color="auto"/>
                                                <w:right w:val="none" w:sz="0" w:space="0" w:color="auto"/>
                                              </w:divBdr>
                                              <w:divsChild>
                                                <w:div w:id="983777747">
                                                  <w:marLeft w:val="0"/>
                                                  <w:marRight w:val="0"/>
                                                  <w:marTop w:val="0"/>
                                                  <w:marBottom w:val="0"/>
                                                  <w:divBdr>
                                                    <w:top w:val="none" w:sz="0" w:space="0" w:color="auto"/>
                                                    <w:left w:val="none" w:sz="0" w:space="0" w:color="auto"/>
                                                    <w:bottom w:val="none" w:sz="0" w:space="0" w:color="auto"/>
                                                    <w:right w:val="none" w:sz="0" w:space="0" w:color="auto"/>
                                                  </w:divBdr>
                                                  <w:divsChild>
                                                    <w:div w:id="10185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722766">
      <w:bodyDiv w:val="1"/>
      <w:marLeft w:val="0"/>
      <w:marRight w:val="0"/>
      <w:marTop w:val="0"/>
      <w:marBottom w:val="0"/>
      <w:divBdr>
        <w:top w:val="none" w:sz="0" w:space="0" w:color="auto"/>
        <w:left w:val="none" w:sz="0" w:space="0" w:color="auto"/>
        <w:bottom w:val="none" w:sz="0" w:space="0" w:color="auto"/>
        <w:right w:val="none" w:sz="0" w:space="0" w:color="auto"/>
      </w:divBdr>
      <w:divsChild>
        <w:div w:id="19014371">
          <w:marLeft w:val="547"/>
          <w:marRight w:val="0"/>
          <w:marTop w:val="0"/>
          <w:marBottom w:val="0"/>
          <w:divBdr>
            <w:top w:val="none" w:sz="0" w:space="0" w:color="auto"/>
            <w:left w:val="none" w:sz="0" w:space="0" w:color="auto"/>
            <w:bottom w:val="none" w:sz="0" w:space="0" w:color="auto"/>
            <w:right w:val="none" w:sz="0" w:space="0" w:color="auto"/>
          </w:divBdr>
        </w:div>
        <w:div w:id="1331904322">
          <w:marLeft w:val="547"/>
          <w:marRight w:val="0"/>
          <w:marTop w:val="0"/>
          <w:marBottom w:val="0"/>
          <w:divBdr>
            <w:top w:val="none" w:sz="0" w:space="0" w:color="auto"/>
            <w:left w:val="none" w:sz="0" w:space="0" w:color="auto"/>
            <w:bottom w:val="none" w:sz="0" w:space="0" w:color="auto"/>
            <w:right w:val="none" w:sz="0" w:space="0" w:color="auto"/>
          </w:divBdr>
        </w:div>
        <w:div w:id="2032560467">
          <w:marLeft w:val="547"/>
          <w:marRight w:val="0"/>
          <w:marTop w:val="0"/>
          <w:marBottom w:val="0"/>
          <w:divBdr>
            <w:top w:val="none" w:sz="0" w:space="0" w:color="auto"/>
            <w:left w:val="none" w:sz="0" w:space="0" w:color="auto"/>
            <w:bottom w:val="none" w:sz="0" w:space="0" w:color="auto"/>
            <w:right w:val="none" w:sz="0" w:space="0" w:color="auto"/>
          </w:divBdr>
        </w:div>
        <w:div w:id="15280571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tr.communitytransfusions@nhs.net" TargetMode="External"/><Relationship Id="rId13" Type="http://schemas.openxmlformats.org/officeDocument/2006/relationships/footer" Target="footer2.xml"/><Relationship Id="rId18" Type="http://schemas.openxmlformats.org/officeDocument/2006/relationships/hyperlink" Target="https://yellowcard.mhra.gov.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uclhguide.com/subscriber/uid=4596/?authstatuscode=20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edicines.org.uk/emc/medicine/23669"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hub.exe.nhs.uk/search/?q=joint+formulary" TargetMode="External"/><Relationship Id="rId20" Type="http://schemas.openxmlformats.org/officeDocument/2006/relationships/hyperlink" Target="http://www.resus.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hub.exe.nhs.uk/search/?q=medusa" TargetMode="External"/><Relationship Id="rId4" Type="http://schemas.openxmlformats.org/officeDocument/2006/relationships/settings" Target="settings.xml"/><Relationship Id="rId9" Type="http://schemas.openxmlformats.org/officeDocument/2006/relationships/hyperlink" Target="https://northeast.devonformularyguidance.nhs.uk/formulary/chapters/9.-blood-and-nutrition/favicon.ico" TargetMode="External"/><Relationship Id="rId14" Type="http://schemas.openxmlformats.org/officeDocument/2006/relationships/header" Target="header3.xml"/><Relationship Id="rId22" Type="http://schemas.openxmlformats.org/officeDocument/2006/relationships/hyperlink" Target="https://hub.exe.nhs.uk/search/?q=monofer+calculat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2700</Words>
  <Characters>15395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MitchellJul</dc:creator>
  <cp:lastModifiedBy>Daviesje</cp:lastModifiedBy>
  <cp:revision>2</cp:revision>
  <cp:lastPrinted>2018-04-04T09:50:00Z</cp:lastPrinted>
  <dcterms:created xsi:type="dcterms:W3CDTF">2018-11-20T14:08:00Z</dcterms:created>
  <dcterms:modified xsi:type="dcterms:W3CDTF">2018-11-20T14:08:00Z</dcterms:modified>
</cp:coreProperties>
</file>